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9733D82" w14:textId="77777777" w:rsidR="00E5558A" w:rsidRDefault="00000000" w:rsidP="00272EEC">
      <w:pPr>
        <w:pStyle w:val="Title"/>
        <w:spacing w:after="0"/>
        <w:rPr>
          <w:rFonts w:ascii="Aptos" w:hAnsi="Aptos"/>
        </w:rPr>
      </w:pPr>
      <w:r w:rsidRPr="00F56506">
        <w:rPr>
          <w:rFonts w:ascii="Aptos" w:hAnsi="Aptos"/>
        </w:rPr>
        <w:t>CHICAGO T</w:t>
      </w:r>
      <w:r w:rsidR="000945A1" w:rsidRPr="00F56506">
        <w:rPr>
          <w:rFonts w:ascii="Aptos" w:hAnsi="Aptos"/>
        </w:rPr>
        <w:t xml:space="preserve">AX INCREMENT </w:t>
      </w:r>
    </w:p>
    <w:p w14:paraId="70DEA284" w14:textId="09205BED" w:rsidR="00511DAD" w:rsidRPr="00F56506" w:rsidRDefault="00272EEC" w:rsidP="00272EEC">
      <w:pPr>
        <w:pStyle w:val="Title"/>
        <w:spacing w:after="0"/>
        <w:rPr>
          <w:rFonts w:ascii="Aptos" w:hAnsi="Aptos"/>
        </w:rPr>
      </w:pPr>
      <w:r>
        <w:rPr>
          <w:rFonts w:ascii="Aptos" w:hAnsi="Aptos"/>
        </w:rPr>
        <w:t>FINANCE REFORM</w:t>
      </w:r>
      <w:r w:rsidR="00000000" w:rsidRPr="00F56506">
        <w:rPr>
          <w:rFonts w:ascii="Aptos" w:hAnsi="Aptos"/>
        </w:rPr>
        <w:t xml:space="preserve"> BLUEPRINT</w:t>
      </w:r>
    </w:p>
    <w:p w14:paraId="510499CB" w14:textId="77777777" w:rsidR="004D63F3" w:rsidRPr="00F56506" w:rsidRDefault="00000000" w:rsidP="00272EEC">
      <w:pPr>
        <w:spacing w:after="0" w:line="240" w:lineRule="auto"/>
        <w:rPr>
          <w:b/>
          <w:color w:val="246A8A"/>
          <w:sz w:val="34"/>
        </w:rPr>
      </w:pPr>
      <w:r w:rsidRPr="00F56506">
        <w:rPr>
          <w:b/>
          <w:color w:val="246A8A"/>
          <w:sz w:val="34"/>
        </w:rPr>
        <w:t xml:space="preserve">Restoring Taxpayer Trust. </w:t>
      </w:r>
    </w:p>
    <w:p w14:paraId="122875F2" w14:textId="77777777" w:rsidR="004D63F3" w:rsidRPr="00F56506" w:rsidRDefault="00000000" w:rsidP="00272EEC">
      <w:pPr>
        <w:spacing w:after="0" w:line="240" w:lineRule="auto"/>
        <w:rPr>
          <w:b/>
          <w:color w:val="246A8A"/>
          <w:sz w:val="34"/>
        </w:rPr>
      </w:pPr>
      <w:r w:rsidRPr="00F56506">
        <w:rPr>
          <w:b/>
          <w:color w:val="246A8A"/>
          <w:sz w:val="34"/>
        </w:rPr>
        <w:t>Strengthening Neighborhood Investment.</w:t>
      </w:r>
      <w:r w:rsidR="00B112FE" w:rsidRPr="00F56506">
        <w:rPr>
          <w:b/>
          <w:color w:val="246A8A"/>
          <w:sz w:val="34"/>
        </w:rPr>
        <w:t xml:space="preserve">  </w:t>
      </w:r>
    </w:p>
    <w:p w14:paraId="280D9E7C" w14:textId="388CF1E3" w:rsidR="00511DAD" w:rsidRPr="00F56506" w:rsidRDefault="00000000" w:rsidP="00272EEC">
      <w:pPr>
        <w:spacing w:after="0" w:line="240" w:lineRule="auto"/>
      </w:pPr>
      <w:r w:rsidRPr="00F56506">
        <w:rPr>
          <w:b/>
          <w:color w:val="246A8A"/>
          <w:sz w:val="34"/>
        </w:rPr>
        <w:t>Modernizing Tax Increment Financing.</w:t>
      </w:r>
    </w:p>
    <w:p w14:paraId="2D85D08B" w14:textId="77777777" w:rsidR="00511DAD" w:rsidRPr="00F56506" w:rsidRDefault="00511DAD" w:rsidP="00272EEC">
      <w:pPr>
        <w:spacing w:after="0" w:line="240" w:lineRule="auto"/>
      </w:pPr>
    </w:p>
    <w:tbl>
      <w:tblPr>
        <w:tblW w:w="0" w:type="auto"/>
        <w:jc w:val="center"/>
        <w:tblLook w:val="04A0" w:firstRow="1" w:lastRow="0" w:firstColumn="1" w:lastColumn="0" w:noHBand="0" w:noVBand="1"/>
      </w:tblPr>
      <w:tblGrid>
        <w:gridCol w:w="10199"/>
      </w:tblGrid>
      <w:tr w:rsidR="00511DAD" w:rsidRPr="00F56506" w14:paraId="23EA9047" w14:textId="77777777">
        <w:trPr>
          <w:jc w:val="center"/>
        </w:trPr>
        <w:tc>
          <w:tcPr>
            <w:tcW w:w="10224" w:type="dxa"/>
            <w:tcBorders>
              <w:left w:val="single" w:sz="20" w:space="0" w:color="2A9D8F"/>
            </w:tcBorders>
            <w:shd w:val="clear" w:color="auto" w:fill="EAF1F5"/>
            <w:tcMar>
              <w:top w:w="190" w:type="dxa"/>
              <w:left w:w="190" w:type="dxa"/>
              <w:bottom w:w="190" w:type="dxa"/>
              <w:right w:w="190" w:type="dxa"/>
            </w:tcMar>
          </w:tcPr>
          <w:p w14:paraId="019E21A4" w14:textId="77777777" w:rsidR="00511DAD" w:rsidRPr="00F56506" w:rsidRDefault="00000000" w:rsidP="00272EEC">
            <w:pPr>
              <w:spacing w:after="0" w:line="240" w:lineRule="auto"/>
            </w:pPr>
            <w:r w:rsidRPr="00F56506">
              <w:rPr>
                <w:b/>
                <w:color w:val="2A9D8F"/>
                <w:sz w:val="20"/>
              </w:rPr>
              <w:t>GOVERNING PROPOSITION</w:t>
            </w:r>
          </w:p>
          <w:p w14:paraId="2A7D4C73" w14:textId="26E8DA34" w:rsidR="00511DAD" w:rsidRPr="00F56506" w:rsidRDefault="00000000" w:rsidP="00272EEC">
            <w:pPr>
              <w:spacing w:after="0" w:line="240" w:lineRule="auto"/>
            </w:pPr>
            <w:r w:rsidRPr="00F56506">
              <w:t xml:space="preserve">Chicago should not debate </w:t>
            </w:r>
            <w:r w:rsidR="004D63F3" w:rsidRPr="00F56506">
              <w:t xml:space="preserve">whether </w:t>
            </w:r>
            <w:r w:rsidRPr="00F56506">
              <w:t xml:space="preserve">TIF exists. </w:t>
            </w:r>
            <w:r w:rsidR="000945A1" w:rsidRPr="00F56506">
              <w:t xml:space="preserve">Rather, </w:t>
            </w:r>
            <w:r w:rsidRPr="00F56506">
              <w:t xml:space="preserve">Chicago should govern TIF </w:t>
            </w:r>
            <w:r w:rsidR="004D63F3" w:rsidRPr="00F56506">
              <w:t xml:space="preserve">as a major public finance </w:t>
            </w:r>
            <w:r w:rsidRPr="00F56506">
              <w:t>system: transparent, purpose-bound, rules-based, and performance-tested.</w:t>
            </w:r>
          </w:p>
        </w:tc>
      </w:tr>
    </w:tbl>
    <w:p w14:paraId="78ADB11E" w14:textId="77777777" w:rsidR="00511DAD" w:rsidRPr="00F56506" w:rsidRDefault="00511DAD" w:rsidP="00272EEC">
      <w:pPr>
        <w:spacing w:after="0" w:line="240" w:lineRule="auto"/>
      </w:pPr>
    </w:p>
    <w:tbl>
      <w:tblPr>
        <w:tblW w:w="0" w:type="auto"/>
        <w:jc w:val="center"/>
        <w:tblLook w:val="04A0" w:firstRow="1" w:lastRow="0" w:firstColumn="1" w:lastColumn="0" w:noHBand="0" w:noVBand="1"/>
      </w:tblPr>
      <w:tblGrid>
        <w:gridCol w:w="3408"/>
        <w:gridCol w:w="3408"/>
        <w:gridCol w:w="3408"/>
      </w:tblGrid>
      <w:tr w:rsidR="00511DAD" w:rsidRPr="00F56506" w14:paraId="790DA5E7" w14:textId="77777777">
        <w:trPr>
          <w:jc w:val="center"/>
        </w:trPr>
        <w:tc>
          <w:tcPr>
            <w:tcW w:w="3408" w:type="dxa"/>
            <w:shd w:val="clear" w:color="auto" w:fill="18324A"/>
            <w:tcMar>
              <w:top w:w="170" w:type="dxa"/>
              <w:left w:w="170" w:type="dxa"/>
              <w:bottom w:w="170" w:type="dxa"/>
              <w:right w:w="170" w:type="dxa"/>
            </w:tcMar>
          </w:tcPr>
          <w:p w14:paraId="3A70D2BC" w14:textId="77777777" w:rsidR="00511DAD" w:rsidRPr="00F56506" w:rsidRDefault="00000000" w:rsidP="00272EEC">
            <w:pPr>
              <w:spacing w:after="0" w:line="240" w:lineRule="auto"/>
              <w:jc w:val="center"/>
            </w:pPr>
            <w:r w:rsidRPr="00F56506">
              <w:rPr>
                <w:b/>
                <w:color w:val="FFFFFF"/>
                <w:sz w:val="40"/>
              </w:rPr>
              <w:t>$1.586B</w:t>
            </w:r>
          </w:p>
          <w:p w14:paraId="155137B6" w14:textId="4327ED28" w:rsidR="00511DAD" w:rsidRPr="00F56506" w:rsidRDefault="00000000" w:rsidP="00272EEC">
            <w:pPr>
              <w:spacing w:after="0" w:line="240" w:lineRule="auto"/>
              <w:jc w:val="center"/>
            </w:pPr>
            <w:r w:rsidRPr="00F56506">
              <w:rPr>
                <w:color w:val="FFFFFF"/>
                <w:sz w:val="17"/>
              </w:rPr>
              <w:t xml:space="preserve">2024 </w:t>
            </w:r>
            <w:r w:rsidR="00B72C04" w:rsidRPr="00F56506">
              <w:rPr>
                <w:color w:val="FFFFFF"/>
                <w:sz w:val="17"/>
              </w:rPr>
              <w:t xml:space="preserve">Chicago </w:t>
            </w:r>
            <w:r w:rsidRPr="00F56506">
              <w:rPr>
                <w:color w:val="FFFFFF"/>
                <w:sz w:val="17"/>
              </w:rPr>
              <w:t>TIF revenue</w:t>
            </w:r>
          </w:p>
        </w:tc>
        <w:tc>
          <w:tcPr>
            <w:tcW w:w="3408" w:type="dxa"/>
            <w:shd w:val="clear" w:color="auto" w:fill="246A8A"/>
            <w:tcMar>
              <w:top w:w="170" w:type="dxa"/>
              <w:left w:w="170" w:type="dxa"/>
              <w:bottom w:w="170" w:type="dxa"/>
              <w:right w:w="170" w:type="dxa"/>
            </w:tcMar>
          </w:tcPr>
          <w:p w14:paraId="67D30A8B" w14:textId="77777777" w:rsidR="00511DAD" w:rsidRPr="00F56506" w:rsidRDefault="00000000" w:rsidP="00272EEC">
            <w:pPr>
              <w:spacing w:after="0" w:line="240" w:lineRule="auto"/>
              <w:jc w:val="center"/>
            </w:pPr>
            <w:r w:rsidRPr="00F56506">
              <w:rPr>
                <w:b/>
                <w:color w:val="FFFFFF"/>
                <w:sz w:val="40"/>
              </w:rPr>
              <w:t>+16.57%</w:t>
            </w:r>
          </w:p>
          <w:p w14:paraId="26487700" w14:textId="2F1EFD58" w:rsidR="00511DAD" w:rsidRPr="00F56506" w:rsidRDefault="009E4B1C" w:rsidP="00272EEC">
            <w:pPr>
              <w:spacing w:after="0" w:line="240" w:lineRule="auto"/>
              <w:jc w:val="center"/>
            </w:pPr>
            <w:r w:rsidRPr="00F56506">
              <w:rPr>
                <w:color w:val="FFFFFF"/>
                <w:sz w:val="17"/>
              </w:rPr>
              <w:t>2023- 2024 growth</w:t>
            </w:r>
          </w:p>
        </w:tc>
        <w:tc>
          <w:tcPr>
            <w:tcW w:w="3408" w:type="dxa"/>
            <w:shd w:val="clear" w:color="auto" w:fill="18324A"/>
            <w:tcMar>
              <w:top w:w="170" w:type="dxa"/>
              <w:left w:w="170" w:type="dxa"/>
              <w:bottom w:w="170" w:type="dxa"/>
              <w:right w:w="170" w:type="dxa"/>
            </w:tcMar>
          </w:tcPr>
          <w:p w14:paraId="450A022F" w14:textId="77777777" w:rsidR="00511DAD" w:rsidRPr="00F56506" w:rsidRDefault="00000000" w:rsidP="00272EEC">
            <w:pPr>
              <w:spacing w:after="0" w:line="240" w:lineRule="auto"/>
              <w:jc w:val="center"/>
            </w:pPr>
            <w:r w:rsidRPr="00F56506">
              <w:rPr>
                <w:b/>
                <w:color w:val="FFFFFF"/>
                <w:sz w:val="40"/>
              </w:rPr>
              <w:t>3.47x</w:t>
            </w:r>
          </w:p>
          <w:p w14:paraId="2C028DFB" w14:textId="5B9E53FF" w:rsidR="00511DAD" w:rsidRPr="00F56506" w:rsidRDefault="009E4B1C" w:rsidP="00272EEC">
            <w:pPr>
              <w:spacing w:after="0" w:line="240" w:lineRule="auto"/>
              <w:jc w:val="center"/>
            </w:pPr>
            <w:r w:rsidRPr="00F56506">
              <w:rPr>
                <w:color w:val="FFFFFF"/>
                <w:sz w:val="17"/>
              </w:rPr>
              <w:t xml:space="preserve">2012 </w:t>
            </w:r>
            <w:r w:rsidR="001F3803" w:rsidRPr="00F56506">
              <w:rPr>
                <w:color w:val="FFFFFF"/>
                <w:sz w:val="17"/>
              </w:rPr>
              <w:t>–</w:t>
            </w:r>
            <w:r w:rsidRPr="00F56506">
              <w:rPr>
                <w:color w:val="FFFFFF"/>
                <w:sz w:val="17"/>
              </w:rPr>
              <w:t xml:space="preserve"> 2024</w:t>
            </w:r>
          </w:p>
        </w:tc>
      </w:tr>
    </w:tbl>
    <w:p w14:paraId="1BA29950" w14:textId="47726A9B" w:rsidR="00511DAD" w:rsidRPr="00F56506" w:rsidRDefault="009E4B1C" w:rsidP="00272EEC">
      <w:pPr>
        <w:spacing w:after="0" w:line="240" w:lineRule="auto"/>
      </w:pPr>
      <w:r w:rsidRPr="00F56506">
        <w:t>Source:  Cook County Clerk, 2024 and 2012 TIF Reports</w:t>
      </w:r>
    </w:p>
    <w:p w14:paraId="798844AB" w14:textId="77777777" w:rsidR="00511DAD" w:rsidRPr="00F56506" w:rsidRDefault="00000000" w:rsidP="00272EEC">
      <w:pPr>
        <w:spacing w:after="0" w:line="240" w:lineRule="auto"/>
      </w:pPr>
      <w:r w:rsidRPr="00F56506">
        <w:br w:type="page"/>
      </w:r>
    </w:p>
    <w:p w14:paraId="7BBF5A64" w14:textId="77777777" w:rsidR="00511DAD" w:rsidRPr="00F56506" w:rsidRDefault="00000000" w:rsidP="00272EEC">
      <w:pPr>
        <w:spacing w:after="0" w:line="240" w:lineRule="auto"/>
      </w:pPr>
      <w:r w:rsidRPr="00F56506">
        <w:rPr>
          <w:b/>
          <w:color w:val="2A9D8F"/>
          <w:sz w:val="18"/>
        </w:rPr>
        <w:lastRenderedPageBreak/>
        <w:t>SECTION 01</w:t>
      </w:r>
    </w:p>
    <w:p w14:paraId="76FB9B59" w14:textId="77777777" w:rsidR="00511DAD" w:rsidRPr="00F56506" w:rsidRDefault="00000000" w:rsidP="00272EEC">
      <w:pPr>
        <w:pStyle w:val="Heading1"/>
        <w:pBdr>
          <w:bottom w:val="single" w:sz="14" w:space="6" w:color="18324A"/>
        </w:pBdr>
        <w:spacing w:line="240" w:lineRule="auto"/>
        <w:rPr>
          <w:rFonts w:ascii="Aptos" w:hAnsi="Aptos"/>
        </w:rPr>
      </w:pPr>
      <w:r w:rsidRPr="00F56506">
        <w:rPr>
          <w:rFonts w:ascii="Aptos" w:hAnsi="Aptos"/>
        </w:rPr>
        <w:t>Reader Guide</w:t>
      </w:r>
    </w:p>
    <w:p w14:paraId="55C88836" w14:textId="77777777" w:rsidR="004D63F3" w:rsidRPr="00F56506" w:rsidRDefault="004D63F3" w:rsidP="00272EEC">
      <w:pPr>
        <w:keepLines/>
        <w:spacing w:after="0" w:line="240" w:lineRule="auto"/>
        <w:rPr>
          <w:color w:val="5D6872"/>
          <w:sz w:val="22"/>
        </w:rPr>
      </w:pPr>
    </w:p>
    <w:p w14:paraId="2A5BF998" w14:textId="127B2DA4" w:rsidR="00511DAD" w:rsidRPr="00F56506" w:rsidRDefault="00000000" w:rsidP="00272EEC">
      <w:pPr>
        <w:keepLines/>
        <w:spacing w:after="0" w:line="240" w:lineRule="auto"/>
      </w:pPr>
      <w:r w:rsidRPr="00F56506">
        <w:t>This report presents a next-generation model for Chicago's Tax Increment Financ</w:t>
      </w:r>
      <w:r w:rsidR="004D63F3" w:rsidRPr="00F56506">
        <w:t xml:space="preserve">e (TIF) </w:t>
      </w:r>
      <w:r w:rsidRPr="00F56506">
        <w:t xml:space="preserve">system. It is designed to </w:t>
      </w:r>
      <w:r w:rsidR="004D63F3" w:rsidRPr="00F56506">
        <w:t>provide a fresh perspective on</w:t>
      </w:r>
      <w:r w:rsidRPr="00F56506">
        <w:t xml:space="preserve"> TIF reform package </w:t>
      </w:r>
      <w:r w:rsidR="004D63F3" w:rsidRPr="00F56506">
        <w:t>for r</w:t>
      </w:r>
      <w:r w:rsidRPr="00F56506">
        <w:t xml:space="preserve">eporters, civic leaders, public officials, taxpayers, </w:t>
      </w:r>
      <w:r w:rsidR="004D63F3" w:rsidRPr="00F56506">
        <w:t xml:space="preserve">and </w:t>
      </w:r>
      <w:r w:rsidRPr="00F56506">
        <w:t>neighborhood organizations</w:t>
      </w:r>
      <w:r w:rsidR="004D63F3" w:rsidRPr="00F56506">
        <w:t xml:space="preserve">.  </w:t>
      </w:r>
      <w:r w:rsidR="00092082" w:rsidRPr="00F56506">
        <w:t>Below</w:t>
      </w:r>
      <w:r w:rsidR="004D63F3" w:rsidRPr="00F56506">
        <w:t xml:space="preserve"> is a</w:t>
      </w:r>
      <w:r w:rsidR="00C67C17">
        <w:t xml:space="preserve">n </w:t>
      </w:r>
      <w:r w:rsidRPr="00F56506">
        <w:t xml:space="preserve">explanation of the problem, </w:t>
      </w:r>
      <w:r w:rsidR="004D63F3" w:rsidRPr="00F56506">
        <w:t>a</w:t>
      </w:r>
      <w:r w:rsidR="001C4484" w:rsidRPr="00F56506">
        <w:t xml:space="preserve">n </w:t>
      </w:r>
      <w:r w:rsidRPr="00F56506">
        <w:t xml:space="preserve">operating model, and </w:t>
      </w:r>
      <w:r w:rsidR="001C4484" w:rsidRPr="00F56506">
        <w:t xml:space="preserve">a </w:t>
      </w:r>
      <w:r w:rsidR="0048073E" w:rsidRPr="00F56506">
        <w:t xml:space="preserve">well-defined </w:t>
      </w:r>
      <w:r w:rsidRPr="00F56506">
        <w:t>implementation path.</w:t>
      </w:r>
    </w:p>
    <w:p w14:paraId="20E5980B" w14:textId="77777777" w:rsidR="004D63F3" w:rsidRPr="00F56506" w:rsidRDefault="004D63F3" w:rsidP="00272EEC">
      <w:pPr>
        <w:keepLines/>
        <w:spacing w:after="0" w:line="240" w:lineRule="auto"/>
      </w:pPr>
    </w:p>
    <w:tbl>
      <w:tblPr>
        <w:tblW w:w="0" w:type="auto"/>
        <w:jc w:val="center"/>
        <w:tblLook w:val="04A0" w:firstRow="1" w:lastRow="0" w:firstColumn="1" w:lastColumn="0" w:noHBand="0" w:noVBand="1"/>
      </w:tblPr>
      <w:tblGrid>
        <w:gridCol w:w="10199"/>
      </w:tblGrid>
      <w:tr w:rsidR="00511DAD" w:rsidRPr="00F56506" w14:paraId="24A2A870" w14:textId="77777777">
        <w:trPr>
          <w:jc w:val="center"/>
        </w:trPr>
        <w:tc>
          <w:tcPr>
            <w:tcW w:w="10224" w:type="dxa"/>
            <w:tcBorders>
              <w:left w:val="single" w:sz="20" w:space="0" w:color="246A8A"/>
            </w:tcBorders>
            <w:shd w:val="clear" w:color="auto" w:fill="EAF1F5"/>
            <w:tcMar>
              <w:top w:w="190" w:type="dxa"/>
              <w:left w:w="190" w:type="dxa"/>
              <w:bottom w:w="190" w:type="dxa"/>
              <w:right w:w="190" w:type="dxa"/>
            </w:tcMar>
          </w:tcPr>
          <w:p w14:paraId="2582FA1D" w14:textId="77777777" w:rsidR="00511DAD" w:rsidRPr="00F56506" w:rsidRDefault="00000000" w:rsidP="00272EEC">
            <w:pPr>
              <w:spacing w:after="0" w:line="240" w:lineRule="auto"/>
            </w:pPr>
            <w:r w:rsidRPr="00F56506">
              <w:rPr>
                <w:b/>
                <w:color w:val="246A8A"/>
                <w:sz w:val="20"/>
              </w:rPr>
              <w:t>THIS IS NOT AN ANTI-TIF PAPER</w:t>
            </w:r>
          </w:p>
          <w:p w14:paraId="2CC1DF5C" w14:textId="3F5AC977" w:rsidR="00511DAD" w:rsidRPr="00F56506" w:rsidRDefault="00000000" w:rsidP="00272EEC">
            <w:pPr>
              <w:spacing w:after="0" w:line="240" w:lineRule="auto"/>
            </w:pPr>
            <w:r w:rsidRPr="00F56506">
              <w:t>TIF can remain a valuable redevelopment tool</w:t>
            </w:r>
            <w:r w:rsidR="0048073E" w:rsidRPr="00F56506">
              <w:t xml:space="preserve"> for struggling neighborhoods</w:t>
            </w:r>
            <w:r w:rsidRPr="00F56506">
              <w:t>. The objective is to make it predictable, transparent, measurable, and disciplined</w:t>
            </w:r>
            <w:r w:rsidR="004D63F3" w:rsidRPr="00F56506">
              <w:t xml:space="preserve">.  The goal is to refine TIF </w:t>
            </w:r>
            <w:r w:rsidRPr="00F56506">
              <w:t>so public confidence and private investment reinforce one another.</w:t>
            </w:r>
          </w:p>
        </w:tc>
      </w:tr>
    </w:tbl>
    <w:p w14:paraId="0F248644" w14:textId="77777777" w:rsidR="00511DAD" w:rsidRPr="00F56506" w:rsidRDefault="00511DAD" w:rsidP="00272EEC">
      <w:pPr>
        <w:spacing w:after="0" w:line="240" w:lineRule="auto"/>
      </w:pPr>
    </w:p>
    <w:p w14:paraId="073F8D50" w14:textId="6829F88A" w:rsidR="00511DAD" w:rsidRPr="00F56506" w:rsidRDefault="001358B6" w:rsidP="00272EEC">
      <w:pPr>
        <w:pStyle w:val="Heading2"/>
        <w:spacing w:line="240" w:lineRule="auto"/>
        <w:rPr>
          <w:rFonts w:ascii="Aptos" w:hAnsi="Aptos"/>
        </w:rPr>
      </w:pPr>
      <w:r w:rsidRPr="00F56506">
        <w:rPr>
          <w:rFonts w:ascii="Aptos" w:hAnsi="Aptos"/>
        </w:rPr>
        <w:t>Evidence-Based Conclusions</w:t>
      </w:r>
    </w:p>
    <w:p w14:paraId="2C1CE8CA" w14:textId="5CE3155E" w:rsidR="00511DAD" w:rsidRPr="00F56506" w:rsidRDefault="001C4484" w:rsidP="00272EEC">
      <w:pPr>
        <w:pStyle w:val="ListBullet"/>
        <w:spacing w:after="0" w:line="240" w:lineRule="auto"/>
      </w:pPr>
      <w:r w:rsidRPr="00F56506">
        <w:t>Facts are based on figures and conclusions</w:t>
      </w:r>
      <w:r w:rsidR="004D63F3" w:rsidRPr="00F56506">
        <w:t xml:space="preserve"> </w:t>
      </w:r>
      <w:r w:rsidRPr="00F56506">
        <w:t>from</w:t>
      </w:r>
      <w:r w:rsidR="004D63F3" w:rsidRPr="00F56506">
        <w:t xml:space="preserve"> published public data</w:t>
      </w:r>
      <w:r w:rsidRPr="00F56506">
        <w:t xml:space="preserve"> sources.</w:t>
      </w:r>
    </w:p>
    <w:p w14:paraId="6C1B6618" w14:textId="33677BF4" w:rsidR="00511DAD" w:rsidRPr="00F56506" w:rsidRDefault="00000000" w:rsidP="00272EEC">
      <w:pPr>
        <w:pStyle w:val="ListBullet"/>
        <w:spacing w:after="0" w:line="240" w:lineRule="auto"/>
      </w:pPr>
      <w:r w:rsidRPr="00F56506">
        <w:t xml:space="preserve">Policy recommendations are presented separately </w:t>
      </w:r>
      <w:r w:rsidR="00E86AA5" w:rsidRPr="00F56506">
        <w:t>based on</w:t>
      </w:r>
      <w:r w:rsidRPr="00F56506">
        <w:t xml:space="preserve"> historical findings.</w:t>
      </w:r>
    </w:p>
    <w:p w14:paraId="7228A951" w14:textId="0DB67452" w:rsidR="00511DAD" w:rsidRPr="00F56506" w:rsidRDefault="001F3803" w:rsidP="00272EEC">
      <w:pPr>
        <w:pStyle w:val="ListBullet"/>
        <w:spacing w:after="0" w:line="240" w:lineRule="auto"/>
      </w:pPr>
      <w:r w:rsidRPr="00F56506">
        <w:t xml:space="preserve">Scoring mechanism for </w:t>
      </w:r>
      <w:r w:rsidR="001C4484" w:rsidRPr="00F56506">
        <w:t>Chicago</w:t>
      </w:r>
      <w:r w:rsidR="00E86AA5" w:rsidRPr="00F56506">
        <w:t xml:space="preserve"> TIF</w:t>
      </w:r>
      <w:r w:rsidR="001C4484" w:rsidRPr="00F56506">
        <w:t xml:space="preserve">’s as a whole and </w:t>
      </w:r>
      <w:r w:rsidR="00E86AA5" w:rsidRPr="00F56506">
        <w:t xml:space="preserve">at an </w:t>
      </w:r>
      <w:r w:rsidR="001C4484" w:rsidRPr="00F56506">
        <w:t xml:space="preserve">individual </w:t>
      </w:r>
      <w:r w:rsidRPr="00F56506">
        <w:t>TIF</w:t>
      </w:r>
      <w:r w:rsidR="00E86AA5" w:rsidRPr="00F56506">
        <w:t xml:space="preserve"> level</w:t>
      </w:r>
      <w:r w:rsidR="001C4484" w:rsidRPr="00F56506">
        <w:t>.</w:t>
      </w:r>
    </w:p>
    <w:p w14:paraId="1CF47958" w14:textId="05FABEB7" w:rsidR="00511DAD" w:rsidRPr="00F56506" w:rsidRDefault="0048073E" w:rsidP="00272EEC">
      <w:pPr>
        <w:pStyle w:val="ListBullet"/>
        <w:spacing w:after="0" w:line="240" w:lineRule="auto"/>
      </w:pPr>
      <w:r w:rsidRPr="00F56506">
        <w:t>Qualitative analysis to measure TIFs by the “But For” test on a long-term basis.</w:t>
      </w:r>
    </w:p>
    <w:p w14:paraId="69DFF49E" w14:textId="77777777" w:rsidR="00511DAD" w:rsidRDefault="00000000" w:rsidP="00272EEC">
      <w:pPr>
        <w:pStyle w:val="Heading2"/>
        <w:spacing w:line="240" w:lineRule="auto"/>
        <w:rPr>
          <w:rFonts w:ascii="Aptos" w:hAnsi="Aptos"/>
        </w:rPr>
      </w:pPr>
      <w:r w:rsidRPr="00F56506">
        <w:rPr>
          <w:rFonts w:ascii="Aptos" w:hAnsi="Aptos"/>
        </w:rPr>
        <w:t>Report architecture</w:t>
      </w:r>
    </w:p>
    <w:p w14:paraId="33ADE1E6" w14:textId="77777777" w:rsidR="00E5558A" w:rsidRPr="00E5558A" w:rsidRDefault="00E5558A" w:rsidP="00E5558A"/>
    <w:tbl>
      <w:tblPr>
        <w:tblStyle w:val="TableGrid"/>
        <w:tblW w:w="0" w:type="auto"/>
        <w:jc w:val="center"/>
        <w:tblLook w:val="04A0" w:firstRow="1" w:lastRow="0" w:firstColumn="1" w:lastColumn="0" w:noHBand="0" w:noVBand="1"/>
      </w:tblPr>
      <w:tblGrid>
        <w:gridCol w:w="5107"/>
        <w:gridCol w:w="5107"/>
      </w:tblGrid>
      <w:tr w:rsidR="00511DAD" w:rsidRPr="00F56506" w14:paraId="5EB15211" w14:textId="77777777">
        <w:trPr>
          <w:jc w:val="center"/>
        </w:trPr>
        <w:tc>
          <w:tcPr>
            <w:tcW w:w="5112" w:type="dxa"/>
            <w:shd w:val="clear" w:color="auto" w:fill="18324A"/>
            <w:tcMar>
              <w:top w:w="130" w:type="dxa"/>
              <w:left w:w="130" w:type="dxa"/>
              <w:bottom w:w="130" w:type="dxa"/>
              <w:right w:w="130" w:type="dxa"/>
            </w:tcMar>
          </w:tcPr>
          <w:p w14:paraId="4FB82E75" w14:textId="77777777" w:rsidR="00511DAD" w:rsidRPr="00F56506" w:rsidRDefault="00000000" w:rsidP="00272EEC">
            <w:pPr>
              <w:spacing w:after="0" w:line="240" w:lineRule="auto"/>
            </w:pPr>
            <w:r w:rsidRPr="00F56506">
              <w:rPr>
                <w:b/>
                <w:color w:val="FFFFFF"/>
                <w:sz w:val="18"/>
              </w:rPr>
              <w:t>Part</w:t>
            </w:r>
          </w:p>
        </w:tc>
        <w:tc>
          <w:tcPr>
            <w:tcW w:w="5112" w:type="dxa"/>
            <w:shd w:val="clear" w:color="auto" w:fill="18324A"/>
            <w:tcMar>
              <w:top w:w="130" w:type="dxa"/>
              <w:left w:w="130" w:type="dxa"/>
              <w:bottom w:w="130" w:type="dxa"/>
              <w:right w:w="130" w:type="dxa"/>
            </w:tcMar>
          </w:tcPr>
          <w:p w14:paraId="67DB2F45" w14:textId="77777777" w:rsidR="00511DAD" w:rsidRPr="00F56506" w:rsidRDefault="00000000" w:rsidP="00272EEC">
            <w:pPr>
              <w:spacing w:after="0" w:line="240" w:lineRule="auto"/>
            </w:pPr>
            <w:r w:rsidRPr="00F56506">
              <w:rPr>
                <w:b/>
                <w:color w:val="FFFFFF"/>
                <w:sz w:val="18"/>
              </w:rPr>
              <w:t>Purpose</w:t>
            </w:r>
          </w:p>
        </w:tc>
      </w:tr>
      <w:tr w:rsidR="00511DAD" w:rsidRPr="00F56506" w14:paraId="74400574" w14:textId="77777777">
        <w:trPr>
          <w:jc w:val="center"/>
        </w:trPr>
        <w:tc>
          <w:tcPr>
            <w:tcW w:w="5112" w:type="dxa"/>
            <w:shd w:val="clear" w:color="auto" w:fill="FFFFFF"/>
            <w:tcMar>
              <w:top w:w="130" w:type="dxa"/>
              <w:left w:w="130" w:type="dxa"/>
              <w:bottom w:w="130" w:type="dxa"/>
              <w:right w:w="130" w:type="dxa"/>
            </w:tcMar>
          </w:tcPr>
          <w:p w14:paraId="53A63482" w14:textId="7DC126C3" w:rsidR="00511DAD" w:rsidRPr="00F56506" w:rsidRDefault="00000000" w:rsidP="00272EEC">
            <w:pPr>
              <w:spacing w:after="0" w:line="240" w:lineRule="auto"/>
            </w:pPr>
            <w:r w:rsidRPr="00F56506">
              <w:rPr>
                <w:sz w:val="17"/>
              </w:rPr>
              <w:t>I. Case for Reform</w:t>
            </w:r>
          </w:p>
        </w:tc>
        <w:tc>
          <w:tcPr>
            <w:tcW w:w="5112" w:type="dxa"/>
            <w:shd w:val="clear" w:color="auto" w:fill="FFFFFF"/>
            <w:tcMar>
              <w:top w:w="130" w:type="dxa"/>
              <w:left w:w="130" w:type="dxa"/>
              <w:bottom w:w="130" w:type="dxa"/>
              <w:right w:w="130" w:type="dxa"/>
            </w:tcMar>
          </w:tcPr>
          <w:p w14:paraId="2A39535E" w14:textId="77777777" w:rsidR="00511DAD" w:rsidRPr="00F56506" w:rsidRDefault="00000000" w:rsidP="00272EEC">
            <w:pPr>
              <w:spacing w:after="0" w:line="240" w:lineRule="auto"/>
            </w:pPr>
            <w:r w:rsidRPr="00F56506">
              <w:rPr>
                <w:sz w:val="17"/>
              </w:rPr>
              <w:t>Defines scale, stakes, and the governing problem.</w:t>
            </w:r>
          </w:p>
        </w:tc>
      </w:tr>
      <w:tr w:rsidR="00511DAD" w:rsidRPr="00F56506" w14:paraId="78290717" w14:textId="77777777">
        <w:trPr>
          <w:jc w:val="center"/>
        </w:trPr>
        <w:tc>
          <w:tcPr>
            <w:tcW w:w="5112" w:type="dxa"/>
            <w:shd w:val="clear" w:color="auto" w:fill="F5F8FA"/>
            <w:tcMar>
              <w:top w:w="130" w:type="dxa"/>
              <w:left w:w="130" w:type="dxa"/>
              <w:bottom w:w="130" w:type="dxa"/>
              <w:right w:w="130" w:type="dxa"/>
            </w:tcMar>
          </w:tcPr>
          <w:p w14:paraId="571E17D8" w14:textId="1C4BE940" w:rsidR="00511DAD" w:rsidRPr="00F56506" w:rsidRDefault="00000000" w:rsidP="00272EEC">
            <w:pPr>
              <w:spacing w:after="0" w:line="240" w:lineRule="auto"/>
            </w:pPr>
            <w:r w:rsidRPr="00F56506">
              <w:rPr>
                <w:sz w:val="17"/>
              </w:rPr>
              <w:t>II. Governance Model</w:t>
            </w:r>
          </w:p>
        </w:tc>
        <w:tc>
          <w:tcPr>
            <w:tcW w:w="5112" w:type="dxa"/>
            <w:shd w:val="clear" w:color="auto" w:fill="F5F8FA"/>
            <w:tcMar>
              <w:top w:w="130" w:type="dxa"/>
              <w:left w:w="130" w:type="dxa"/>
              <w:bottom w:w="130" w:type="dxa"/>
              <w:right w:w="130" w:type="dxa"/>
            </w:tcMar>
          </w:tcPr>
          <w:p w14:paraId="3885981B" w14:textId="55091AFE" w:rsidR="00511DAD" w:rsidRPr="00F56506" w:rsidRDefault="00000000" w:rsidP="00272EEC">
            <w:pPr>
              <w:spacing w:after="0" w:line="240" w:lineRule="auto"/>
            </w:pPr>
            <w:r w:rsidRPr="00F56506">
              <w:rPr>
                <w:sz w:val="17"/>
              </w:rPr>
              <w:t>Introduces life</w:t>
            </w:r>
            <w:r w:rsidR="001C4484" w:rsidRPr="00F56506">
              <w:rPr>
                <w:sz w:val="17"/>
              </w:rPr>
              <w:t xml:space="preserve"> of each TIF </w:t>
            </w:r>
            <w:r w:rsidRPr="00F56506">
              <w:rPr>
                <w:sz w:val="17"/>
              </w:rPr>
              <w:t>management</w:t>
            </w:r>
            <w:r w:rsidR="001C4484" w:rsidRPr="00F56506">
              <w:rPr>
                <w:sz w:val="17"/>
              </w:rPr>
              <w:t xml:space="preserve"> criteria</w:t>
            </w:r>
            <w:r w:rsidRPr="00F56506">
              <w:rPr>
                <w:sz w:val="17"/>
              </w:rPr>
              <w:t>, dist</w:t>
            </w:r>
            <w:r w:rsidR="001C4484" w:rsidRPr="00F56506">
              <w:rPr>
                <w:sz w:val="17"/>
              </w:rPr>
              <w:t xml:space="preserve">inct neighborhood TIF </w:t>
            </w:r>
            <w:r w:rsidRPr="00F56506">
              <w:rPr>
                <w:sz w:val="17"/>
              </w:rPr>
              <w:t>typolog</w:t>
            </w:r>
            <w:r w:rsidR="001C4484" w:rsidRPr="00F56506">
              <w:rPr>
                <w:sz w:val="17"/>
              </w:rPr>
              <w:t>ies</w:t>
            </w:r>
            <w:r w:rsidRPr="00F56506">
              <w:rPr>
                <w:sz w:val="17"/>
              </w:rPr>
              <w:t>, and performance testing.</w:t>
            </w:r>
          </w:p>
        </w:tc>
      </w:tr>
      <w:tr w:rsidR="00511DAD" w:rsidRPr="00F56506" w14:paraId="253F12AF" w14:textId="77777777">
        <w:trPr>
          <w:jc w:val="center"/>
        </w:trPr>
        <w:tc>
          <w:tcPr>
            <w:tcW w:w="5112" w:type="dxa"/>
            <w:shd w:val="clear" w:color="auto" w:fill="FFFFFF"/>
            <w:tcMar>
              <w:top w:w="130" w:type="dxa"/>
              <w:left w:w="130" w:type="dxa"/>
              <w:bottom w:w="130" w:type="dxa"/>
              <w:right w:w="130" w:type="dxa"/>
            </w:tcMar>
          </w:tcPr>
          <w:p w14:paraId="590201E7" w14:textId="19E2BD84" w:rsidR="00511DAD" w:rsidRPr="00F56506" w:rsidRDefault="00000000" w:rsidP="00272EEC">
            <w:pPr>
              <w:spacing w:after="0" w:line="240" w:lineRule="auto"/>
            </w:pPr>
            <w:r w:rsidRPr="00F56506">
              <w:rPr>
                <w:sz w:val="17"/>
              </w:rPr>
              <w:t>III. Reform Package</w:t>
            </w:r>
          </w:p>
        </w:tc>
        <w:tc>
          <w:tcPr>
            <w:tcW w:w="5112" w:type="dxa"/>
            <w:shd w:val="clear" w:color="auto" w:fill="FFFFFF"/>
            <w:tcMar>
              <w:top w:w="130" w:type="dxa"/>
              <w:left w:w="130" w:type="dxa"/>
              <w:bottom w:w="130" w:type="dxa"/>
              <w:right w:w="130" w:type="dxa"/>
            </w:tcMar>
          </w:tcPr>
          <w:p w14:paraId="3D0FE132" w14:textId="77777777" w:rsidR="00511DAD" w:rsidRPr="00F56506" w:rsidRDefault="00000000" w:rsidP="00272EEC">
            <w:pPr>
              <w:spacing w:after="0" w:line="240" w:lineRule="auto"/>
            </w:pPr>
            <w:r w:rsidRPr="00F56506">
              <w:rPr>
                <w:sz w:val="17"/>
              </w:rPr>
              <w:t>Sets the policy and ordinance architecture.</w:t>
            </w:r>
          </w:p>
        </w:tc>
      </w:tr>
      <w:tr w:rsidR="00511DAD" w:rsidRPr="00F56506" w14:paraId="4E66B655" w14:textId="77777777">
        <w:trPr>
          <w:jc w:val="center"/>
        </w:trPr>
        <w:tc>
          <w:tcPr>
            <w:tcW w:w="5112" w:type="dxa"/>
            <w:shd w:val="clear" w:color="auto" w:fill="F5F8FA"/>
            <w:tcMar>
              <w:top w:w="130" w:type="dxa"/>
              <w:left w:w="130" w:type="dxa"/>
              <w:bottom w:w="130" w:type="dxa"/>
              <w:right w:w="130" w:type="dxa"/>
            </w:tcMar>
          </w:tcPr>
          <w:p w14:paraId="7FBC7D0A" w14:textId="77777777" w:rsidR="00511DAD" w:rsidRPr="00F56506" w:rsidRDefault="00000000" w:rsidP="00272EEC">
            <w:pPr>
              <w:spacing w:after="0" w:line="240" w:lineRule="auto"/>
            </w:pPr>
            <w:r w:rsidRPr="00F56506">
              <w:rPr>
                <w:sz w:val="17"/>
              </w:rPr>
              <w:t>IV. Implementation</w:t>
            </w:r>
          </w:p>
        </w:tc>
        <w:tc>
          <w:tcPr>
            <w:tcW w:w="5112" w:type="dxa"/>
            <w:shd w:val="clear" w:color="auto" w:fill="F5F8FA"/>
            <w:tcMar>
              <w:top w:w="130" w:type="dxa"/>
              <w:left w:w="130" w:type="dxa"/>
              <w:bottom w:w="130" w:type="dxa"/>
              <w:right w:w="130" w:type="dxa"/>
            </w:tcMar>
          </w:tcPr>
          <w:p w14:paraId="7D15F50C" w14:textId="77777777" w:rsidR="00511DAD" w:rsidRPr="00F56506" w:rsidRDefault="00000000" w:rsidP="00272EEC">
            <w:pPr>
              <w:spacing w:after="0" w:line="240" w:lineRule="auto"/>
            </w:pPr>
            <w:r w:rsidRPr="00F56506">
              <w:rPr>
                <w:sz w:val="17"/>
              </w:rPr>
              <w:t>Provides 30-, 60-, 100-, and 180-day actions.</w:t>
            </w:r>
          </w:p>
        </w:tc>
      </w:tr>
      <w:tr w:rsidR="00511DAD" w:rsidRPr="00F56506" w14:paraId="4C550A72" w14:textId="77777777">
        <w:trPr>
          <w:jc w:val="center"/>
        </w:trPr>
        <w:tc>
          <w:tcPr>
            <w:tcW w:w="5112" w:type="dxa"/>
            <w:shd w:val="clear" w:color="auto" w:fill="FFFFFF"/>
            <w:tcMar>
              <w:top w:w="130" w:type="dxa"/>
              <w:left w:w="130" w:type="dxa"/>
              <w:bottom w:w="130" w:type="dxa"/>
              <w:right w:w="130" w:type="dxa"/>
            </w:tcMar>
          </w:tcPr>
          <w:p w14:paraId="556DC726" w14:textId="77777777" w:rsidR="00511DAD" w:rsidRPr="00F56506" w:rsidRDefault="00000000" w:rsidP="00272EEC">
            <w:pPr>
              <w:spacing w:after="0" w:line="240" w:lineRule="auto"/>
            </w:pPr>
            <w:r w:rsidRPr="00F56506">
              <w:rPr>
                <w:sz w:val="17"/>
              </w:rPr>
              <w:t>V. Validation Appendix</w:t>
            </w:r>
          </w:p>
        </w:tc>
        <w:tc>
          <w:tcPr>
            <w:tcW w:w="5112" w:type="dxa"/>
            <w:shd w:val="clear" w:color="auto" w:fill="FFFFFF"/>
            <w:tcMar>
              <w:top w:w="130" w:type="dxa"/>
              <w:left w:w="130" w:type="dxa"/>
              <w:bottom w:w="130" w:type="dxa"/>
              <w:right w:w="130" w:type="dxa"/>
            </w:tcMar>
          </w:tcPr>
          <w:p w14:paraId="6F7DE8B3" w14:textId="532AD0C9" w:rsidR="00511DAD" w:rsidRPr="00F56506" w:rsidRDefault="00092082" w:rsidP="00272EEC">
            <w:pPr>
              <w:spacing w:after="0" w:line="240" w:lineRule="auto"/>
            </w:pPr>
            <w:r w:rsidRPr="00F56506">
              <w:rPr>
                <w:sz w:val="17"/>
              </w:rPr>
              <w:t>Required evidence, assumptions, and data still required.</w:t>
            </w:r>
          </w:p>
        </w:tc>
      </w:tr>
    </w:tbl>
    <w:p w14:paraId="757E9525" w14:textId="77777777" w:rsidR="00511DAD" w:rsidRPr="00F56506" w:rsidRDefault="00511DAD" w:rsidP="00272EEC">
      <w:pPr>
        <w:spacing w:after="0" w:line="240" w:lineRule="auto"/>
      </w:pPr>
    </w:p>
    <w:p w14:paraId="142CB590" w14:textId="77777777" w:rsidR="00511DAD" w:rsidRPr="00F56506" w:rsidRDefault="00000000" w:rsidP="00272EEC">
      <w:pPr>
        <w:spacing w:after="0" w:line="240" w:lineRule="auto"/>
      </w:pPr>
      <w:r w:rsidRPr="00F56506">
        <w:br w:type="page"/>
      </w:r>
    </w:p>
    <w:p w14:paraId="123E183A" w14:textId="77777777" w:rsidR="00511DAD" w:rsidRPr="00F56506" w:rsidRDefault="00000000" w:rsidP="00272EEC">
      <w:pPr>
        <w:spacing w:after="0" w:line="240" w:lineRule="auto"/>
      </w:pPr>
      <w:r w:rsidRPr="00F56506">
        <w:rPr>
          <w:b/>
          <w:color w:val="2A9D8F"/>
          <w:sz w:val="18"/>
        </w:rPr>
        <w:lastRenderedPageBreak/>
        <w:t>SECTION 02</w:t>
      </w:r>
    </w:p>
    <w:p w14:paraId="73342469" w14:textId="77777777" w:rsidR="00511DAD" w:rsidRPr="00F56506" w:rsidRDefault="00000000" w:rsidP="00272EEC">
      <w:pPr>
        <w:pStyle w:val="Heading1"/>
        <w:pBdr>
          <w:bottom w:val="single" w:sz="14" w:space="6" w:color="18324A"/>
        </w:pBdr>
        <w:spacing w:line="240" w:lineRule="auto"/>
        <w:rPr>
          <w:rFonts w:ascii="Aptos" w:hAnsi="Aptos"/>
        </w:rPr>
      </w:pPr>
      <w:r w:rsidRPr="00F56506">
        <w:rPr>
          <w:rFonts w:ascii="Aptos" w:hAnsi="Aptos"/>
        </w:rPr>
        <w:t>Executive Summary</w:t>
      </w:r>
    </w:p>
    <w:p w14:paraId="521B96CE" w14:textId="77777777" w:rsidR="00092082" w:rsidRPr="00F56506" w:rsidRDefault="00092082" w:rsidP="00272EEC">
      <w:pPr>
        <w:spacing w:after="0" w:line="240" w:lineRule="auto"/>
        <w:rPr>
          <w:color w:val="5D6872"/>
          <w:sz w:val="22"/>
        </w:rPr>
      </w:pPr>
    </w:p>
    <w:p w14:paraId="5FCC1ED7" w14:textId="551C290B" w:rsidR="00092082" w:rsidRPr="00F56506" w:rsidRDefault="00092082" w:rsidP="00272EEC">
      <w:pPr>
        <w:spacing w:after="0" w:line="240" w:lineRule="auto"/>
        <w:rPr>
          <w:b/>
          <w:bCs/>
          <w:color w:val="5D6872"/>
          <w:sz w:val="28"/>
          <w:szCs w:val="28"/>
        </w:rPr>
      </w:pPr>
      <w:r w:rsidRPr="00F56506">
        <w:rPr>
          <w:b/>
          <w:bCs/>
          <w:color w:val="5D6872"/>
          <w:sz w:val="28"/>
          <w:szCs w:val="28"/>
        </w:rPr>
        <w:t>Key Finding</w:t>
      </w:r>
    </w:p>
    <w:p w14:paraId="421A25BC" w14:textId="77777777" w:rsidR="00092082" w:rsidRPr="00F56506" w:rsidRDefault="00092082" w:rsidP="00272EEC">
      <w:pPr>
        <w:spacing w:after="0" w:line="240" w:lineRule="auto"/>
        <w:rPr>
          <w:color w:val="5D6872"/>
          <w:sz w:val="22"/>
        </w:rPr>
      </w:pPr>
    </w:p>
    <w:p w14:paraId="3265CAF4" w14:textId="64CB65A1" w:rsidR="00511DAD" w:rsidRPr="00F56506" w:rsidRDefault="00092082" w:rsidP="00272EEC">
      <w:pPr>
        <w:spacing w:after="0" w:line="240" w:lineRule="auto"/>
        <w:rPr>
          <w:szCs w:val="19"/>
        </w:rPr>
      </w:pPr>
      <w:r w:rsidRPr="00F56506">
        <w:rPr>
          <w:color w:val="5D6872"/>
          <w:szCs w:val="19"/>
        </w:rPr>
        <w:t>There is a need for a pro-development and pro-discipline framework for the next generation of TIFs.</w:t>
      </w:r>
    </w:p>
    <w:p w14:paraId="4BBA6B42" w14:textId="77777777" w:rsidR="00092082" w:rsidRPr="00F56506" w:rsidRDefault="00092082" w:rsidP="00272EEC">
      <w:pPr>
        <w:keepLines/>
        <w:spacing w:after="0" w:line="240" w:lineRule="auto"/>
      </w:pPr>
    </w:p>
    <w:p w14:paraId="3D38D6D7" w14:textId="74788BFA" w:rsidR="00092082" w:rsidRPr="00F56506" w:rsidRDefault="00092082" w:rsidP="00272EEC">
      <w:pPr>
        <w:keepLines/>
        <w:spacing w:after="0" w:line="240" w:lineRule="auto"/>
        <w:rPr>
          <w:b/>
          <w:bCs/>
          <w:sz w:val="28"/>
          <w:szCs w:val="28"/>
        </w:rPr>
      </w:pPr>
      <w:r w:rsidRPr="00F56506">
        <w:rPr>
          <w:b/>
          <w:bCs/>
          <w:sz w:val="28"/>
          <w:szCs w:val="28"/>
        </w:rPr>
        <w:t>Evidence</w:t>
      </w:r>
    </w:p>
    <w:p w14:paraId="5E1FF43B" w14:textId="77777777" w:rsidR="00092082" w:rsidRPr="00F56506" w:rsidRDefault="00092082" w:rsidP="00272EEC">
      <w:pPr>
        <w:keepLines/>
        <w:spacing w:after="0" w:line="240" w:lineRule="auto"/>
      </w:pPr>
    </w:p>
    <w:p w14:paraId="0627C165" w14:textId="03FEFC30" w:rsidR="00511DAD" w:rsidRPr="00F56506" w:rsidRDefault="00895D1C" w:rsidP="00272EEC">
      <w:pPr>
        <w:keepLines/>
        <w:spacing w:after="0" w:line="240" w:lineRule="auto"/>
      </w:pPr>
      <w:r w:rsidRPr="00F56506">
        <w:t>TIF has grown into one of Chicago's largest and most consequential public-finance systems. City TIF revenue increased from $457.0 million to $1.586 billion</w:t>
      </w:r>
      <w:r w:rsidR="004D63F3" w:rsidRPr="00F56506">
        <w:t xml:space="preserve"> from 2012 to</w:t>
      </w:r>
      <w:r w:rsidRPr="00F56506">
        <w:t xml:space="preserve"> 2024</w:t>
      </w:r>
      <w:r w:rsidR="004D63F3" w:rsidRPr="00F56506">
        <w:t>, respectively</w:t>
      </w:r>
      <w:r w:rsidRPr="00F56506">
        <w:t xml:space="preserve">. </w:t>
      </w:r>
      <w:r w:rsidR="001F3803" w:rsidRPr="00F56506">
        <w:t>Due to the 2024 reassessment, t</w:t>
      </w:r>
      <w:r w:rsidRPr="00F56506">
        <w:t>he 2024 total was 16.57 percent above 2023</w:t>
      </w:r>
      <w:r w:rsidR="001F3803" w:rsidRPr="00F56506">
        <w:t xml:space="preserve"> (Source:  Cook County Clerk 2024 TIF Report)</w:t>
      </w:r>
      <w:r w:rsidRPr="00F56506">
        <w:t xml:space="preserve">. </w:t>
      </w:r>
      <w:r w:rsidR="001F3803" w:rsidRPr="00F56506">
        <w:t>That dramatic increase should not be construed as misuse or unintended consequences</w:t>
      </w:r>
      <w:r w:rsidRPr="00F56506">
        <w:t xml:space="preserve">. </w:t>
      </w:r>
      <w:r w:rsidR="001F3803" w:rsidRPr="00F56506">
        <w:t xml:space="preserve">The data clearly show </w:t>
      </w:r>
      <w:r w:rsidRPr="00F56506">
        <w:t xml:space="preserve">that TIF is large enough to require </w:t>
      </w:r>
      <w:r w:rsidR="001F3803" w:rsidRPr="00F56506">
        <w:t xml:space="preserve">additional </w:t>
      </w:r>
      <w:r w:rsidRPr="00F56506">
        <w:t xml:space="preserve">transparency, consistent rules, </w:t>
      </w:r>
      <w:r w:rsidR="001F3803" w:rsidRPr="00F56506">
        <w:t xml:space="preserve">a revaluation of portability </w:t>
      </w:r>
      <w:r w:rsidRPr="00F56506">
        <w:t xml:space="preserve">standards, and </w:t>
      </w:r>
      <w:r w:rsidR="001F3803" w:rsidRPr="00F56506">
        <w:t>triggers when revenues clearly impact Chicago’s overall tax base</w:t>
      </w:r>
      <w:r w:rsidRPr="00F56506">
        <w:t>.</w:t>
      </w:r>
    </w:p>
    <w:p w14:paraId="2FB19BF1" w14:textId="77777777" w:rsidR="00E86AA5" w:rsidRPr="00F56506" w:rsidRDefault="00E86AA5" w:rsidP="00272EEC">
      <w:pPr>
        <w:keepLines/>
        <w:spacing w:after="0" w:line="240" w:lineRule="auto"/>
      </w:pPr>
    </w:p>
    <w:tbl>
      <w:tblPr>
        <w:tblW w:w="0" w:type="auto"/>
        <w:jc w:val="center"/>
        <w:tblLook w:val="04A0" w:firstRow="1" w:lastRow="0" w:firstColumn="1" w:lastColumn="0" w:noHBand="0" w:noVBand="1"/>
      </w:tblPr>
      <w:tblGrid>
        <w:gridCol w:w="3408"/>
        <w:gridCol w:w="3408"/>
        <w:gridCol w:w="3408"/>
      </w:tblGrid>
      <w:tr w:rsidR="00511DAD" w:rsidRPr="00F56506" w14:paraId="1D0459C5" w14:textId="77777777">
        <w:trPr>
          <w:jc w:val="center"/>
        </w:trPr>
        <w:tc>
          <w:tcPr>
            <w:tcW w:w="3408" w:type="dxa"/>
            <w:shd w:val="clear" w:color="auto" w:fill="18324A"/>
            <w:tcMar>
              <w:top w:w="170" w:type="dxa"/>
              <w:left w:w="170" w:type="dxa"/>
              <w:bottom w:w="170" w:type="dxa"/>
              <w:right w:w="170" w:type="dxa"/>
            </w:tcMar>
          </w:tcPr>
          <w:p w14:paraId="3E32EF7F" w14:textId="77777777" w:rsidR="00511DAD" w:rsidRPr="00F56506" w:rsidRDefault="00000000" w:rsidP="00272EEC">
            <w:pPr>
              <w:spacing w:after="0" w:line="240" w:lineRule="auto"/>
              <w:jc w:val="center"/>
            </w:pPr>
            <w:r w:rsidRPr="00F56506">
              <w:rPr>
                <w:b/>
                <w:color w:val="FFFFFF"/>
                <w:sz w:val="40"/>
              </w:rPr>
              <w:t>$457.0M</w:t>
            </w:r>
          </w:p>
          <w:p w14:paraId="431AB0A1" w14:textId="77777777" w:rsidR="00511DAD" w:rsidRPr="00F56506" w:rsidRDefault="00000000" w:rsidP="00272EEC">
            <w:pPr>
              <w:spacing w:after="0" w:line="240" w:lineRule="auto"/>
              <w:jc w:val="center"/>
            </w:pPr>
            <w:r w:rsidRPr="00F56506">
              <w:rPr>
                <w:color w:val="FFFFFF"/>
                <w:sz w:val="17"/>
              </w:rPr>
              <w:t>2012 TIF revenue</w:t>
            </w:r>
          </w:p>
        </w:tc>
        <w:tc>
          <w:tcPr>
            <w:tcW w:w="3408" w:type="dxa"/>
            <w:shd w:val="clear" w:color="auto" w:fill="246A8A"/>
            <w:tcMar>
              <w:top w:w="170" w:type="dxa"/>
              <w:left w:w="170" w:type="dxa"/>
              <w:bottom w:w="170" w:type="dxa"/>
              <w:right w:w="170" w:type="dxa"/>
            </w:tcMar>
          </w:tcPr>
          <w:p w14:paraId="71F6F3FE" w14:textId="77777777" w:rsidR="00511DAD" w:rsidRPr="00F56506" w:rsidRDefault="00000000" w:rsidP="00272EEC">
            <w:pPr>
              <w:spacing w:after="0" w:line="240" w:lineRule="auto"/>
              <w:jc w:val="center"/>
            </w:pPr>
            <w:r w:rsidRPr="00F56506">
              <w:rPr>
                <w:b/>
                <w:color w:val="FFFFFF"/>
                <w:sz w:val="40"/>
              </w:rPr>
              <w:t>$1.586B</w:t>
            </w:r>
          </w:p>
          <w:p w14:paraId="29FB3982" w14:textId="77777777" w:rsidR="00511DAD" w:rsidRPr="00F56506" w:rsidRDefault="00000000" w:rsidP="00272EEC">
            <w:pPr>
              <w:spacing w:after="0" w:line="240" w:lineRule="auto"/>
              <w:jc w:val="center"/>
            </w:pPr>
            <w:r w:rsidRPr="00F56506">
              <w:rPr>
                <w:color w:val="FFFFFF"/>
                <w:sz w:val="17"/>
              </w:rPr>
              <w:t>2024 TIF revenue</w:t>
            </w:r>
          </w:p>
        </w:tc>
        <w:tc>
          <w:tcPr>
            <w:tcW w:w="3408" w:type="dxa"/>
            <w:shd w:val="clear" w:color="auto" w:fill="18324A"/>
            <w:tcMar>
              <w:top w:w="170" w:type="dxa"/>
              <w:left w:w="170" w:type="dxa"/>
              <w:bottom w:w="170" w:type="dxa"/>
              <w:right w:w="170" w:type="dxa"/>
            </w:tcMar>
          </w:tcPr>
          <w:p w14:paraId="25D9E8CD" w14:textId="77777777" w:rsidR="00511DAD" w:rsidRPr="00F56506" w:rsidRDefault="00000000" w:rsidP="00272EEC">
            <w:pPr>
              <w:spacing w:after="0" w:line="240" w:lineRule="auto"/>
              <w:jc w:val="center"/>
            </w:pPr>
            <w:r w:rsidRPr="00F56506">
              <w:rPr>
                <w:b/>
                <w:color w:val="FFFFFF"/>
                <w:sz w:val="40"/>
              </w:rPr>
              <w:t>247%</w:t>
            </w:r>
          </w:p>
          <w:p w14:paraId="33C4B945" w14:textId="77777777" w:rsidR="00511DAD" w:rsidRPr="00F56506" w:rsidRDefault="00000000" w:rsidP="00272EEC">
            <w:pPr>
              <w:spacing w:after="0" w:line="240" w:lineRule="auto"/>
              <w:jc w:val="center"/>
            </w:pPr>
            <w:r w:rsidRPr="00F56506">
              <w:rPr>
                <w:color w:val="FFFFFF"/>
                <w:sz w:val="17"/>
              </w:rPr>
              <w:t>Increase, 2012-2024</w:t>
            </w:r>
          </w:p>
        </w:tc>
      </w:tr>
    </w:tbl>
    <w:p w14:paraId="4AF49BE7" w14:textId="77777777" w:rsidR="00511DAD" w:rsidRPr="00F56506" w:rsidRDefault="00511DAD" w:rsidP="00272EEC">
      <w:pPr>
        <w:spacing w:after="0" w:line="240" w:lineRule="auto"/>
      </w:pPr>
    </w:p>
    <w:tbl>
      <w:tblPr>
        <w:tblW w:w="0" w:type="auto"/>
        <w:jc w:val="center"/>
        <w:tblLook w:val="04A0" w:firstRow="1" w:lastRow="0" w:firstColumn="1" w:lastColumn="0" w:noHBand="0" w:noVBand="1"/>
      </w:tblPr>
      <w:tblGrid>
        <w:gridCol w:w="10199"/>
      </w:tblGrid>
      <w:tr w:rsidR="00511DAD" w:rsidRPr="00F56506" w14:paraId="55238F53" w14:textId="77777777">
        <w:trPr>
          <w:jc w:val="center"/>
        </w:trPr>
        <w:tc>
          <w:tcPr>
            <w:tcW w:w="10224" w:type="dxa"/>
            <w:tcBorders>
              <w:left w:val="single" w:sz="20" w:space="0" w:color="246A8A"/>
            </w:tcBorders>
            <w:shd w:val="clear" w:color="auto" w:fill="EAF1F5"/>
            <w:tcMar>
              <w:top w:w="190" w:type="dxa"/>
              <w:left w:w="190" w:type="dxa"/>
              <w:bottom w:w="190" w:type="dxa"/>
              <w:right w:w="190" w:type="dxa"/>
            </w:tcMar>
          </w:tcPr>
          <w:p w14:paraId="250DD5BF" w14:textId="77777777" w:rsidR="00511DAD" w:rsidRPr="00F56506" w:rsidRDefault="00000000" w:rsidP="00272EEC">
            <w:pPr>
              <w:spacing w:after="0" w:line="240" w:lineRule="auto"/>
            </w:pPr>
            <w:r w:rsidRPr="00F56506">
              <w:rPr>
                <w:b/>
                <w:color w:val="246A8A"/>
                <w:sz w:val="20"/>
              </w:rPr>
              <w:t>CORE DIAGNOSIS</w:t>
            </w:r>
          </w:p>
          <w:p w14:paraId="1ECDB849" w14:textId="54E5B5A4" w:rsidR="00511DAD" w:rsidRPr="00F56506" w:rsidRDefault="00000000" w:rsidP="00272EEC">
            <w:pPr>
              <w:spacing w:after="0" w:line="240" w:lineRule="auto"/>
            </w:pPr>
            <w:r w:rsidRPr="00F56506">
              <w:t xml:space="preserve">Chicago's recurring TIF debate is not fundamentally about whether redevelopment should be financed. </w:t>
            </w:r>
            <w:r w:rsidR="00092082" w:rsidRPr="00F56506">
              <w:t>Instead, i</w:t>
            </w:r>
            <w:r w:rsidRPr="00F56506">
              <w:t>t is about whether a major fiscal system is governed by stable rules that taxpayers, investors, taxing districts, and neighborhoods can verify.</w:t>
            </w:r>
          </w:p>
        </w:tc>
      </w:tr>
    </w:tbl>
    <w:p w14:paraId="0273E2E2" w14:textId="15AECCB1" w:rsidR="00511DAD" w:rsidRPr="00F56506" w:rsidRDefault="00092082" w:rsidP="00272EEC">
      <w:pPr>
        <w:pStyle w:val="Heading2"/>
        <w:spacing w:line="240" w:lineRule="auto"/>
        <w:rPr>
          <w:rFonts w:ascii="Aptos" w:hAnsi="Aptos"/>
          <w:sz w:val="28"/>
          <w:szCs w:val="28"/>
        </w:rPr>
      </w:pPr>
      <w:r w:rsidRPr="00F56506">
        <w:rPr>
          <w:rFonts w:ascii="Aptos" w:hAnsi="Aptos"/>
          <w:sz w:val="28"/>
          <w:szCs w:val="28"/>
        </w:rPr>
        <w:t>Proposed operating model</w:t>
      </w:r>
    </w:p>
    <w:p w14:paraId="13F3AB5C" w14:textId="77777777" w:rsidR="00092082" w:rsidRPr="00F56506" w:rsidRDefault="00092082" w:rsidP="00272EEC">
      <w:pPr>
        <w:spacing w:after="0" w:line="240" w:lineRule="auto"/>
      </w:pPr>
    </w:p>
    <w:p w14:paraId="32D3B3E5" w14:textId="2B3E88BA" w:rsidR="00511DAD" w:rsidRPr="00F56506" w:rsidRDefault="00000000" w:rsidP="00272EEC">
      <w:pPr>
        <w:pStyle w:val="ListBullet"/>
        <w:spacing w:after="0" w:line="240" w:lineRule="auto"/>
      </w:pPr>
      <w:r w:rsidRPr="00F56506">
        <w:t xml:space="preserve">Treat the citywide TIF portfolio as a managed redevelopment </w:t>
      </w:r>
      <w:r w:rsidR="00A642B1" w:rsidRPr="00F56506">
        <w:t>tool</w:t>
      </w:r>
      <w:r w:rsidRPr="00F56506">
        <w:t xml:space="preserve"> rather than isolated project decisions</w:t>
      </w:r>
      <w:r w:rsidR="001F3803" w:rsidRPr="00F56506">
        <w:t xml:space="preserve"> or a last resort for closing annual budget deficits</w:t>
      </w:r>
      <w:r w:rsidRPr="00F56506">
        <w:t>.</w:t>
      </w:r>
    </w:p>
    <w:p w14:paraId="7EA93015" w14:textId="352E12A0" w:rsidR="00511DAD" w:rsidRPr="00F56506" w:rsidRDefault="00000000" w:rsidP="00272EEC">
      <w:pPr>
        <w:pStyle w:val="ListBullet"/>
        <w:tabs>
          <w:tab w:val="clear" w:pos="360"/>
        </w:tabs>
        <w:spacing w:after="0" w:line="240" w:lineRule="auto"/>
      </w:pPr>
      <w:r w:rsidRPr="00F56506">
        <w:t xml:space="preserve">Classify </w:t>
      </w:r>
      <w:r w:rsidR="00A642B1" w:rsidRPr="00F56506">
        <w:t xml:space="preserve">TIF </w:t>
      </w:r>
      <w:r w:rsidRPr="00F56506">
        <w:t xml:space="preserve">districts </w:t>
      </w:r>
      <w:r w:rsidR="00A642B1" w:rsidRPr="00F56506">
        <w:t xml:space="preserve">according to a scoring system:  </w:t>
      </w:r>
      <w:r w:rsidRPr="00F56506">
        <w:t xml:space="preserve">Growth, Stabilization, </w:t>
      </w:r>
      <w:r w:rsidR="00A642B1" w:rsidRPr="00F56506">
        <w:t>and</w:t>
      </w:r>
      <w:r w:rsidRPr="00F56506">
        <w:t xml:space="preserve"> Close-Out</w:t>
      </w:r>
      <w:r w:rsidR="00A642B1" w:rsidRPr="00F56506">
        <w:t>.</w:t>
      </w:r>
    </w:p>
    <w:p w14:paraId="3BA688F2" w14:textId="77777777" w:rsidR="00511DAD" w:rsidRPr="00F56506" w:rsidRDefault="00000000" w:rsidP="00272EEC">
      <w:pPr>
        <w:pStyle w:val="ListBullet"/>
        <w:spacing w:after="0" w:line="240" w:lineRule="auto"/>
      </w:pPr>
      <w:r w:rsidRPr="00F56506">
        <w:t>Require standardized reporting for balances, obligations, transfers, uncommitted amounts, delivery, and outcomes.</w:t>
      </w:r>
    </w:p>
    <w:p w14:paraId="7EE0745E" w14:textId="77777777" w:rsidR="00511DAD" w:rsidRPr="00F56506" w:rsidRDefault="00000000" w:rsidP="00272EEC">
      <w:pPr>
        <w:pStyle w:val="ListBullet"/>
        <w:spacing w:after="0" w:line="240" w:lineRule="auto"/>
      </w:pPr>
      <w:r w:rsidRPr="00F56506">
        <w:t>Adopt a TIF Performance Index with explicit weights, definitions, confidence levels, and validation.</w:t>
      </w:r>
    </w:p>
    <w:p w14:paraId="03DD2CCB" w14:textId="77777777" w:rsidR="00511DAD" w:rsidRPr="00F56506" w:rsidRDefault="00000000" w:rsidP="00272EEC">
      <w:pPr>
        <w:pStyle w:val="ListBullet"/>
        <w:spacing w:after="0" w:line="240" w:lineRule="auto"/>
      </w:pPr>
      <w:r w:rsidRPr="00F56506">
        <w:t>Create consistent thresholds for portability, surplus, amendment, extension, and closure.</w:t>
      </w:r>
    </w:p>
    <w:p w14:paraId="570C17C6" w14:textId="77777777" w:rsidR="00511DAD" w:rsidRPr="00F56506" w:rsidRDefault="00000000" w:rsidP="00272EEC">
      <w:pPr>
        <w:pStyle w:val="ListBullet"/>
        <w:spacing w:after="0" w:line="240" w:lineRule="auto"/>
      </w:pPr>
      <w:r w:rsidRPr="00F56506">
        <w:t>Publish annual district scorecards and a citywide portfolio report.</w:t>
      </w:r>
    </w:p>
    <w:p w14:paraId="499096E0" w14:textId="77777777" w:rsidR="00E86AA5" w:rsidRPr="00F56506" w:rsidRDefault="00E86AA5" w:rsidP="00272EEC">
      <w:pPr>
        <w:pStyle w:val="ListBullet"/>
        <w:numPr>
          <w:ilvl w:val="0"/>
          <w:numId w:val="0"/>
        </w:numPr>
        <w:spacing w:after="0" w:line="240" w:lineRule="auto"/>
        <w:ind w:left="360"/>
      </w:pPr>
    </w:p>
    <w:tbl>
      <w:tblPr>
        <w:tblStyle w:val="TableGrid"/>
        <w:tblW w:w="0" w:type="auto"/>
        <w:jc w:val="center"/>
        <w:tblLook w:val="04A0" w:firstRow="1" w:lastRow="0" w:firstColumn="1" w:lastColumn="0" w:noHBand="0" w:noVBand="1"/>
      </w:tblPr>
      <w:tblGrid>
        <w:gridCol w:w="5107"/>
        <w:gridCol w:w="5107"/>
      </w:tblGrid>
      <w:tr w:rsidR="00511DAD" w:rsidRPr="00F56506" w14:paraId="02F2E264" w14:textId="77777777">
        <w:trPr>
          <w:jc w:val="center"/>
        </w:trPr>
        <w:tc>
          <w:tcPr>
            <w:tcW w:w="5112" w:type="dxa"/>
            <w:shd w:val="clear" w:color="auto" w:fill="18324A"/>
            <w:tcMar>
              <w:top w:w="130" w:type="dxa"/>
              <w:left w:w="130" w:type="dxa"/>
              <w:bottom w:w="130" w:type="dxa"/>
              <w:right w:w="130" w:type="dxa"/>
            </w:tcMar>
          </w:tcPr>
          <w:p w14:paraId="05F8F155" w14:textId="77777777" w:rsidR="00511DAD" w:rsidRPr="00F56506" w:rsidRDefault="00000000" w:rsidP="00272EEC">
            <w:pPr>
              <w:spacing w:after="0" w:line="240" w:lineRule="auto"/>
            </w:pPr>
            <w:r w:rsidRPr="00F56506">
              <w:rPr>
                <w:b/>
                <w:color w:val="FFFFFF"/>
                <w:sz w:val="18"/>
              </w:rPr>
              <w:t>Deadline</w:t>
            </w:r>
          </w:p>
        </w:tc>
        <w:tc>
          <w:tcPr>
            <w:tcW w:w="5112" w:type="dxa"/>
            <w:shd w:val="clear" w:color="auto" w:fill="18324A"/>
            <w:tcMar>
              <w:top w:w="130" w:type="dxa"/>
              <w:left w:w="130" w:type="dxa"/>
              <w:bottom w:w="130" w:type="dxa"/>
              <w:right w:w="130" w:type="dxa"/>
            </w:tcMar>
          </w:tcPr>
          <w:p w14:paraId="3A4EFAA8" w14:textId="77777777" w:rsidR="00511DAD" w:rsidRPr="00F56506" w:rsidRDefault="00000000" w:rsidP="00272EEC">
            <w:pPr>
              <w:spacing w:after="0" w:line="240" w:lineRule="auto"/>
            </w:pPr>
            <w:r w:rsidRPr="00F56506">
              <w:rPr>
                <w:b/>
                <w:color w:val="FFFFFF"/>
                <w:sz w:val="18"/>
              </w:rPr>
              <w:t>Commitment</w:t>
            </w:r>
          </w:p>
        </w:tc>
      </w:tr>
      <w:tr w:rsidR="00511DAD" w:rsidRPr="00F56506" w14:paraId="750290B5" w14:textId="77777777">
        <w:trPr>
          <w:jc w:val="center"/>
        </w:trPr>
        <w:tc>
          <w:tcPr>
            <w:tcW w:w="5112" w:type="dxa"/>
            <w:shd w:val="clear" w:color="auto" w:fill="FFFFFF"/>
            <w:tcMar>
              <w:top w:w="130" w:type="dxa"/>
              <w:left w:w="130" w:type="dxa"/>
              <w:bottom w:w="130" w:type="dxa"/>
              <w:right w:w="130" w:type="dxa"/>
            </w:tcMar>
          </w:tcPr>
          <w:p w14:paraId="3AE3C443" w14:textId="77777777" w:rsidR="00511DAD" w:rsidRPr="00F56506" w:rsidRDefault="00000000" w:rsidP="00272EEC">
            <w:pPr>
              <w:spacing w:after="0" w:line="240" w:lineRule="auto"/>
            </w:pPr>
            <w:r w:rsidRPr="00F56506">
              <w:rPr>
                <w:sz w:val="17"/>
              </w:rPr>
              <w:t>Day 30</w:t>
            </w:r>
          </w:p>
        </w:tc>
        <w:tc>
          <w:tcPr>
            <w:tcW w:w="5112" w:type="dxa"/>
            <w:shd w:val="clear" w:color="auto" w:fill="FFFFFF"/>
            <w:tcMar>
              <w:top w:w="130" w:type="dxa"/>
              <w:left w:w="130" w:type="dxa"/>
              <w:bottom w:w="130" w:type="dxa"/>
              <w:right w:w="130" w:type="dxa"/>
            </w:tcMar>
          </w:tcPr>
          <w:p w14:paraId="4EECFF14" w14:textId="2AFC0B8E" w:rsidR="00511DAD" w:rsidRPr="00F56506" w:rsidRDefault="00000000" w:rsidP="00272EEC">
            <w:pPr>
              <w:spacing w:after="0" w:line="240" w:lineRule="auto"/>
            </w:pPr>
            <w:r w:rsidRPr="00F56506">
              <w:rPr>
                <w:sz w:val="17"/>
              </w:rPr>
              <w:t xml:space="preserve">Publish </w:t>
            </w:r>
            <w:r w:rsidR="00882491">
              <w:rPr>
                <w:sz w:val="17"/>
              </w:rPr>
              <w:t xml:space="preserve">TIF </w:t>
            </w:r>
            <w:r w:rsidRPr="00F56506">
              <w:rPr>
                <w:sz w:val="17"/>
              </w:rPr>
              <w:t>district baseline and data dictionary.</w:t>
            </w:r>
          </w:p>
        </w:tc>
      </w:tr>
      <w:tr w:rsidR="00511DAD" w:rsidRPr="00F56506" w14:paraId="296CC7D6" w14:textId="77777777">
        <w:trPr>
          <w:jc w:val="center"/>
        </w:trPr>
        <w:tc>
          <w:tcPr>
            <w:tcW w:w="5112" w:type="dxa"/>
            <w:shd w:val="clear" w:color="auto" w:fill="F5F8FA"/>
            <w:tcMar>
              <w:top w:w="130" w:type="dxa"/>
              <w:left w:w="130" w:type="dxa"/>
              <w:bottom w:w="130" w:type="dxa"/>
              <w:right w:w="130" w:type="dxa"/>
            </w:tcMar>
          </w:tcPr>
          <w:p w14:paraId="7E7665EA" w14:textId="77777777" w:rsidR="00511DAD" w:rsidRPr="00F56506" w:rsidRDefault="00000000" w:rsidP="00272EEC">
            <w:pPr>
              <w:spacing w:after="0" w:line="240" w:lineRule="auto"/>
            </w:pPr>
            <w:r w:rsidRPr="00F56506">
              <w:rPr>
                <w:sz w:val="17"/>
              </w:rPr>
              <w:t>Day 60</w:t>
            </w:r>
          </w:p>
        </w:tc>
        <w:tc>
          <w:tcPr>
            <w:tcW w:w="5112" w:type="dxa"/>
            <w:shd w:val="clear" w:color="auto" w:fill="F5F8FA"/>
            <w:tcMar>
              <w:top w:w="130" w:type="dxa"/>
              <w:left w:w="130" w:type="dxa"/>
              <w:bottom w:w="130" w:type="dxa"/>
              <w:right w:w="130" w:type="dxa"/>
            </w:tcMar>
          </w:tcPr>
          <w:p w14:paraId="1F30AD15" w14:textId="37555C86" w:rsidR="00511DAD" w:rsidRPr="00F56506" w:rsidRDefault="00000000" w:rsidP="00272EEC">
            <w:pPr>
              <w:spacing w:after="0" w:line="240" w:lineRule="auto"/>
            </w:pPr>
            <w:r w:rsidRPr="00F56506">
              <w:rPr>
                <w:sz w:val="17"/>
              </w:rPr>
              <w:t xml:space="preserve">Release </w:t>
            </w:r>
            <w:r w:rsidR="00882491">
              <w:rPr>
                <w:sz w:val="17"/>
              </w:rPr>
              <w:t xml:space="preserve">Chicago City Council </w:t>
            </w:r>
            <w:r w:rsidRPr="00F56506">
              <w:rPr>
                <w:sz w:val="17"/>
              </w:rPr>
              <w:t>ordinance package and performance methodology.</w:t>
            </w:r>
          </w:p>
        </w:tc>
      </w:tr>
      <w:tr w:rsidR="00511DAD" w:rsidRPr="00F56506" w14:paraId="5D25A8EE" w14:textId="77777777">
        <w:trPr>
          <w:jc w:val="center"/>
        </w:trPr>
        <w:tc>
          <w:tcPr>
            <w:tcW w:w="5112" w:type="dxa"/>
            <w:shd w:val="clear" w:color="auto" w:fill="FFFFFF"/>
            <w:tcMar>
              <w:top w:w="130" w:type="dxa"/>
              <w:left w:w="130" w:type="dxa"/>
              <w:bottom w:w="130" w:type="dxa"/>
              <w:right w:w="130" w:type="dxa"/>
            </w:tcMar>
          </w:tcPr>
          <w:p w14:paraId="4D3B21FA" w14:textId="77777777" w:rsidR="00511DAD" w:rsidRPr="00F56506" w:rsidRDefault="00000000" w:rsidP="00272EEC">
            <w:pPr>
              <w:spacing w:after="0" w:line="240" w:lineRule="auto"/>
            </w:pPr>
            <w:r w:rsidRPr="00F56506">
              <w:rPr>
                <w:sz w:val="17"/>
              </w:rPr>
              <w:t>Day 100</w:t>
            </w:r>
          </w:p>
        </w:tc>
        <w:tc>
          <w:tcPr>
            <w:tcW w:w="5112" w:type="dxa"/>
            <w:shd w:val="clear" w:color="auto" w:fill="FFFFFF"/>
            <w:tcMar>
              <w:top w:w="130" w:type="dxa"/>
              <w:left w:w="130" w:type="dxa"/>
              <w:bottom w:w="130" w:type="dxa"/>
              <w:right w:w="130" w:type="dxa"/>
            </w:tcMar>
          </w:tcPr>
          <w:p w14:paraId="7093475D" w14:textId="2A0D522F" w:rsidR="00511DAD" w:rsidRPr="00F56506" w:rsidRDefault="00000000" w:rsidP="00272EEC">
            <w:pPr>
              <w:spacing w:after="0" w:line="240" w:lineRule="auto"/>
            </w:pPr>
            <w:r w:rsidRPr="00F56506">
              <w:rPr>
                <w:sz w:val="17"/>
              </w:rPr>
              <w:t xml:space="preserve">Issue provisional </w:t>
            </w:r>
            <w:r w:rsidR="00882491">
              <w:rPr>
                <w:sz w:val="17"/>
              </w:rPr>
              <w:t xml:space="preserve">TIF </w:t>
            </w:r>
            <w:r w:rsidRPr="00F56506">
              <w:rPr>
                <w:sz w:val="17"/>
              </w:rPr>
              <w:t>district tiers and compliance report.</w:t>
            </w:r>
          </w:p>
        </w:tc>
      </w:tr>
      <w:tr w:rsidR="00511DAD" w:rsidRPr="00F56506" w14:paraId="01AF09AE" w14:textId="77777777">
        <w:trPr>
          <w:jc w:val="center"/>
        </w:trPr>
        <w:tc>
          <w:tcPr>
            <w:tcW w:w="5112" w:type="dxa"/>
            <w:shd w:val="clear" w:color="auto" w:fill="F5F8FA"/>
            <w:tcMar>
              <w:top w:w="130" w:type="dxa"/>
              <w:left w:w="130" w:type="dxa"/>
              <w:bottom w:w="130" w:type="dxa"/>
              <w:right w:w="130" w:type="dxa"/>
            </w:tcMar>
          </w:tcPr>
          <w:p w14:paraId="08CE8CC1" w14:textId="77777777" w:rsidR="00511DAD" w:rsidRPr="00F56506" w:rsidRDefault="00000000" w:rsidP="00272EEC">
            <w:pPr>
              <w:spacing w:after="0" w:line="240" w:lineRule="auto"/>
            </w:pPr>
            <w:r w:rsidRPr="00F56506">
              <w:rPr>
                <w:sz w:val="17"/>
              </w:rPr>
              <w:t>Day 180</w:t>
            </w:r>
          </w:p>
        </w:tc>
        <w:tc>
          <w:tcPr>
            <w:tcW w:w="5112" w:type="dxa"/>
            <w:shd w:val="clear" w:color="auto" w:fill="F5F8FA"/>
            <w:tcMar>
              <w:top w:w="130" w:type="dxa"/>
              <w:left w:w="130" w:type="dxa"/>
              <w:bottom w:w="130" w:type="dxa"/>
              <w:right w:w="130" w:type="dxa"/>
            </w:tcMar>
          </w:tcPr>
          <w:p w14:paraId="76FA76DE" w14:textId="77777777" w:rsidR="00511DAD" w:rsidRPr="00F56506" w:rsidRDefault="00000000" w:rsidP="00272EEC">
            <w:pPr>
              <w:spacing w:after="0" w:line="240" w:lineRule="auto"/>
            </w:pPr>
            <w:r w:rsidRPr="00F56506">
              <w:rPr>
                <w:sz w:val="17"/>
              </w:rPr>
              <w:t>Publish validated scorecards, surplus actions, and portfolio plan.</w:t>
            </w:r>
          </w:p>
        </w:tc>
      </w:tr>
    </w:tbl>
    <w:p w14:paraId="33130266" w14:textId="77777777" w:rsidR="00511DAD" w:rsidRPr="00F56506" w:rsidRDefault="00511DAD" w:rsidP="00272EEC">
      <w:pPr>
        <w:spacing w:after="0" w:line="240" w:lineRule="auto"/>
      </w:pPr>
    </w:p>
    <w:p w14:paraId="2AB04623" w14:textId="77777777" w:rsidR="00E5558A" w:rsidRDefault="00E5558A" w:rsidP="00272EEC">
      <w:pPr>
        <w:spacing w:after="0" w:line="240" w:lineRule="auto"/>
        <w:rPr>
          <w:b/>
          <w:color w:val="2A9D8F"/>
          <w:sz w:val="18"/>
        </w:rPr>
      </w:pPr>
    </w:p>
    <w:p w14:paraId="2565C6B2" w14:textId="77777777" w:rsidR="00E5558A" w:rsidRDefault="00E5558A" w:rsidP="00272EEC">
      <w:pPr>
        <w:spacing w:after="0" w:line="240" w:lineRule="auto"/>
        <w:rPr>
          <w:b/>
          <w:color w:val="2A9D8F"/>
          <w:sz w:val="18"/>
        </w:rPr>
      </w:pPr>
    </w:p>
    <w:p w14:paraId="0B0FA8BF" w14:textId="77777777" w:rsidR="00E5558A" w:rsidRDefault="00E5558A" w:rsidP="00272EEC">
      <w:pPr>
        <w:spacing w:after="0" w:line="240" w:lineRule="auto"/>
        <w:rPr>
          <w:b/>
          <w:color w:val="2A9D8F"/>
          <w:sz w:val="18"/>
        </w:rPr>
      </w:pPr>
    </w:p>
    <w:p w14:paraId="2FB89897" w14:textId="77777777" w:rsidR="00E5558A" w:rsidRDefault="00E5558A" w:rsidP="00272EEC">
      <w:pPr>
        <w:spacing w:after="0" w:line="240" w:lineRule="auto"/>
        <w:rPr>
          <w:b/>
          <w:color w:val="2A9D8F"/>
          <w:sz w:val="18"/>
        </w:rPr>
      </w:pPr>
    </w:p>
    <w:p w14:paraId="6217B64D" w14:textId="77777777" w:rsidR="00E5558A" w:rsidRDefault="00E5558A" w:rsidP="00272EEC">
      <w:pPr>
        <w:spacing w:after="0" w:line="240" w:lineRule="auto"/>
        <w:rPr>
          <w:b/>
          <w:color w:val="2A9D8F"/>
          <w:sz w:val="18"/>
        </w:rPr>
      </w:pPr>
    </w:p>
    <w:p w14:paraId="6519F32D" w14:textId="77777777" w:rsidR="00E5558A" w:rsidRDefault="00E5558A" w:rsidP="00272EEC">
      <w:pPr>
        <w:spacing w:after="0" w:line="240" w:lineRule="auto"/>
        <w:rPr>
          <w:b/>
          <w:color w:val="2A9D8F"/>
          <w:sz w:val="18"/>
        </w:rPr>
      </w:pPr>
    </w:p>
    <w:p w14:paraId="3D9E769F" w14:textId="42B99871" w:rsidR="00511DAD" w:rsidRPr="00F56506" w:rsidRDefault="00000000" w:rsidP="00272EEC">
      <w:pPr>
        <w:spacing w:after="0" w:line="240" w:lineRule="auto"/>
      </w:pPr>
      <w:r w:rsidRPr="00F56506">
        <w:rPr>
          <w:b/>
          <w:color w:val="2A9D8F"/>
          <w:sz w:val="18"/>
        </w:rPr>
        <w:lastRenderedPageBreak/>
        <w:t>SECTION 03</w:t>
      </w:r>
    </w:p>
    <w:p w14:paraId="03399532" w14:textId="0748DF9B" w:rsidR="00511DAD" w:rsidRPr="00F56506" w:rsidRDefault="00092082" w:rsidP="00272EEC">
      <w:pPr>
        <w:pStyle w:val="Heading1"/>
        <w:pBdr>
          <w:bottom w:val="single" w:sz="14" w:space="6" w:color="18324A"/>
        </w:pBdr>
        <w:spacing w:line="240" w:lineRule="auto"/>
        <w:rPr>
          <w:rFonts w:ascii="Aptos" w:hAnsi="Aptos"/>
        </w:rPr>
      </w:pPr>
      <w:r w:rsidRPr="00F56506">
        <w:rPr>
          <w:rFonts w:ascii="Aptos" w:hAnsi="Aptos"/>
        </w:rPr>
        <w:t xml:space="preserve">Need for </w:t>
      </w:r>
      <w:r w:rsidR="009D125C" w:rsidRPr="00F56506">
        <w:rPr>
          <w:rFonts w:ascii="Aptos" w:hAnsi="Aptos"/>
        </w:rPr>
        <w:t xml:space="preserve">New </w:t>
      </w:r>
      <w:r w:rsidRPr="00F56506">
        <w:rPr>
          <w:rFonts w:ascii="Aptos" w:hAnsi="Aptos"/>
        </w:rPr>
        <w:t>TIF Governance Now</w:t>
      </w:r>
    </w:p>
    <w:p w14:paraId="6AF6F26C" w14:textId="77777777" w:rsidR="00092082" w:rsidRPr="00F56506" w:rsidRDefault="00092082" w:rsidP="00272EEC">
      <w:pPr>
        <w:spacing w:after="0" w:line="240" w:lineRule="auto"/>
        <w:rPr>
          <w:color w:val="5D6872"/>
          <w:sz w:val="22"/>
        </w:rPr>
      </w:pPr>
    </w:p>
    <w:p w14:paraId="272ECCCC" w14:textId="362B295E" w:rsidR="00511DAD" w:rsidRPr="00F56506" w:rsidRDefault="00092082" w:rsidP="00272EEC">
      <w:pPr>
        <w:spacing w:after="0" w:line="240" w:lineRule="auto"/>
      </w:pPr>
      <w:r w:rsidRPr="00F56506">
        <w:rPr>
          <w:color w:val="5D6872"/>
          <w:sz w:val="22"/>
        </w:rPr>
        <w:t>Chicago TIF’s current billion-dollar scale warrants a change in Chicago’s TIF guardrails.</w:t>
      </w:r>
      <w:r w:rsidRPr="00F56506">
        <w:t xml:space="preserve"> A TIF financing mechanism can be useful and still require modernization. As the scale of TIF grows, governance practices that may have been tolerated when the system was smaller become increasingly consequential. In 2024, Chicago city TIF revenue reached approximately $1.586 billio</w:t>
      </w:r>
      <w:r w:rsidR="009D125C" w:rsidRPr="00F56506">
        <w:t xml:space="preserve">n </w:t>
      </w:r>
      <w:r w:rsidRPr="00F56506">
        <w:t>compared with</w:t>
      </w:r>
      <w:r w:rsidR="00F56506" w:rsidRPr="00F56506">
        <w:t xml:space="preserve"> a total of $8.346 billion billed in Chicago (Source:  2024 Cook County Clerk Tax Agency Report).</w:t>
      </w:r>
    </w:p>
    <w:p w14:paraId="38A83FA9" w14:textId="77777777" w:rsidR="001C4484" w:rsidRPr="00F56506" w:rsidRDefault="001C4484" w:rsidP="00272EEC">
      <w:pPr>
        <w:keepLines/>
        <w:spacing w:after="0" w:line="240" w:lineRule="auto"/>
      </w:pPr>
    </w:p>
    <w:p w14:paraId="49737691" w14:textId="18900F18" w:rsidR="00511DAD" w:rsidRPr="00F56506" w:rsidRDefault="001C4484" w:rsidP="00272EEC">
      <w:pPr>
        <w:spacing w:after="0" w:line="240" w:lineRule="auto"/>
        <w:jc w:val="center"/>
      </w:pPr>
      <w:r w:rsidRPr="00F56506">
        <w:rPr>
          <w:noProof/>
        </w:rPr>
        <w:drawing>
          <wp:inline distT="0" distB="0" distL="0" distR="0" wp14:anchorId="699FCEDA" wp14:editId="32CF77CF">
            <wp:extent cx="4572000" cy="2743200"/>
            <wp:effectExtent l="0" t="0" r="12700" b="12700"/>
            <wp:docPr id="1726185909" name="Chart 1">
              <a:extLst xmlns:a="http://schemas.openxmlformats.org/drawingml/2006/main">
                <a:ext uri="{FF2B5EF4-FFF2-40B4-BE49-F238E27FC236}">
                  <a16:creationId xmlns:a16="http://schemas.microsoft.com/office/drawing/2014/main" id="{AE361F9A-DEA6-7E9B-E2F2-AA26444FB0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BD4481" w14:textId="77777777" w:rsidR="00E86AA5" w:rsidRPr="00F56506" w:rsidRDefault="00E86AA5" w:rsidP="00272EEC">
      <w:pPr>
        <w:spacing w:after="0" w:line="240" w:lineRule="auto"/>
        <w:jc w:val="center"/>
      </w:pPr>
      <w:r w:rsidRPr="00F56506">
        <w:t>Source:  Cook County Clerk, 2024 and 2012 TIF Reports</w:t>
      </w:r>
    </w:p>
    <w:p w14:paraId="45C59C8C" w14:textId="77777777" w:rsidR="00E86AA5" w:rsidRPr="00F56506" w:rsidRDefault="00E86AA5" w:rsidP="00272EEC">
      <w:pPr>
        <w:spacing w:after="0" w:line="240" w:lineRule="auto"/>
        <w:jc w:val="center"/>
      </w:pPr>
    </w:p>
    <w:tbl>
      <w:tblPr>
        <w:tblStyle w:val="TableGrid"/>
        <w:tblW w:w="0" w:type="auto"/>
        <w:jc w:val="center"/>
        <w:tblLook w:val="04A0" w:firstRow="1" w:lastRow="0" w:firstColumn="1" w:lastColumn="0" w:noHBand="0" w:noVBand="1"/>
      </w:tblPr>
      <w:tblGrid>
        <w:gridCol w:w="5107"/>
        <w:gridCol w:w="5107"/>
      </w:tblGrid>
      <w:tr w:rsidR="00511DAD" w:rsidRPr="00F56506" w14:paraId="5178C359" w14:textId="77777777">
        <w:trPr>
          <w:jc w:val="center"/>
        </w:trPr>
        <w:tc>
          <w:tcPr>
            <w:tcW w:w="5112" w:type="dxa"/>
            <w:shd w:val="clear" w:color="auto" w:fill="18324A"/>
            <w:tcMar>
              <w:top w:w="130" w:type="dxa"/>
              <w:left w:w="130" w:type="dxa"/>
              <w:bottom w:w="130" w:type="dxa"/>
              <w:right w:w="130" w:type="dxa"/>
            </w:tcMar>
          </w:tcPr>
          <w:p w14:paraId="0A65BB09" w14:textId="23753BA7" w:rsidR="00511DAD" w:rsidRPr="00F56506" w:rsidRDefault="00000000" w:rsidP="00272EEC">
            <w:pPr>
              <w:spacing w:after="0" w:line="240" w:lineRule="auto"/>
            </w:pPr>
            <w:r w:rsidRPr="00F56506">
              <w:rPr>
                <w:b/>
                <w:color w:val="FFFFFF"/>
                <w:sz w:val="18"/>
              </w:rPr>
              <w:t xml:space="preserve">When the </w:t>
            </w:r>
            <w:r w:rsidR="00E86AA5" w:rsidRPr="00F56506">
              <w:rPr>
                <w:b/>
                <w:color w:val="FFFFFF"/>
                <w:sz w:val="18"/>
              </w:rPr>
              <w:t xml:space="preserve">Chicago TIF </w:t>
            </w:r>
            <w:r w:rsidRPr="00F56506">
              <w:rPr>
                <w:b/>
                <w:color w:val="FFFFFF"/>
                <w:sz w:val="18"/>
              </w:rPr>
              <w:t xml:space="preserve">system </w:t>
            </w:r>
            <w:r w:rsidR="00E86AA5" w:rsidRPr="00F56506">
              <w:rPr>
                <w:b/>
                <w:color w:val="FFFFFF"/>
                <w:sz w:val="18"/>
              </w:rPr>
              <w:t xml:space="preserve">was </w:t>
            </w:r>
            <w:r w:rsidRPr="00F56506">
              <w:rPr>
                <w:b/>
                <w:color w:val="FFFFFF"/>
                <w:sz w:val="18"/>
              </w:rPr>
              <w:t>smaller</w:t>
            </w:r>
          </w:p>
        </w:tc>
        <w:tc>
          <w:tcPr>
            <w:tcW w:w="5112" w:type="dxa"/>
            <w:shd w:val="clear" w:color="auto" w:fill="18324A"/>
            <w:tcMar>
              <w:top w:w="130" w:type="dxa"/>
              <w:left w:w="130" w:type="dxa"/>
              <w:bottom w:w="130" w:type="dxa"/>
              <w:right w:w="130" w:type="dxa"/>
            </w:tcMar>
          </w:tcPr>
          <w:p w14:paraId="7BC50C60" w14:textId="7B700FC0" w:rsidR="00511DAD" w:rsidRPr="00F56506" w:rsidRDefault="00E86AA5" w:rsidP="00272EEC">
            <w:pPr>
              <w:spacing w:after="0" w:line="240" w:lineRule="auto"/>
            </w:pPr>
            <w:r w:rsidRPr="00F56506">
              <w:rPr>
                <w:b/>
                <w:color w:val="FFFFFF"/>
                <w:sz w:val="18"/>
              </w:rPr>
              <w:t>Now Chicago’s TIF structure is a major fiscal entity</w:t>
            </w:r>
          </w:p>
        </w:tc>
      </w:tr>
      <w:tr w:rsidR="00511DAD" w:rsidRPr="00F56506" w14:paraId="6C4A728C" w14:textId="77777777">
        <w:trPr>
          <w:jc w:val="center"/>
        </w:trPr>
        <w:tc>
          <w:tcPr>
            <w:tcW w:w="5112" w:type="dxa"/>
            <w:shd w:val="clear" w:color="auto" w:fill="FFFFFF"/>
            <w:tcMar>
              <w:top w:w="130" w:type="dxa"/>
              <w:left w:w="130" w:type="dxa"/>
              <w:bottom w:w="130" w:type="dxa"/>
              <w:right w:w="130" w:type="dxa"/>
            </w:tcMar>
          </w:tcPr>
          <w:p w14:paraId="20EB0C91" w14:textId="7B00D371" w:rsidR="00511DAD" w:rsidRPr="00F56506" w:rsidRDefault="00000000" w:rsidP="00272EEC">
            <w:pPr>
              <w:spacing w:after="0" w:line="240" w:lineRule="auto"/>
            </w:pPr>
            <w:r w:rsidRPr="00F56506">
              <w:rPr>
                <w:sz w:val="17"/>
              </w:rPr>
              <w:t xml:space="preserve">Project-level reporting may </w:t>
            </w:r>
            <w:r w:rsidR="00E86AA5" w:rsidRPr="00F56506">
              <w:rPr>
                <w:sz w:val="17"/>
              </w:rPr>
              <w:t xml:space="preserve">have </w:t>
            </w:r>
            <w:r w:rsidRPr="00F56506">
              <w:rPr>
                <w:sz w:val="17"/>
              </w:rPr>
              <w:t>appear</w:t>
            </w:r>
            <w:r w:rsidR="00E86AA5" w:rsidRPr="00F56506">
              <w:rPr>
                <w:sz w:val="17"/>
              </w:rPr>
              <w:t>ed</w:t>
            </w:r>
            <w:r w:rsidRPr="00F56506">
              <w:rPr>
                <w:sz w:val="17"/>
              </w:rPr>
              <w:t xml:space="preserve"> adequate.</w:t>
            </w:r>
          </w:p>
        </w:tc>
        <w:tc>
          <w:tcPr>
            <w:tcW w:w="5112" w:type="dxa"/>
            <w:shd w:val="clear" w:color="auto" w:fill="FFFFFF"/>
            <w:tcMar>
              <w:top w:w="130" w:type="dxa"/>
              <w:left w:w="130" w:type="dxa"/>
              <w:bottom w:w="130" w:type="dxa"/>
              <w:right w:w="130" w:type="dxa"/>
            </w:tcMar>
          </w:tcPr>
          <w:p w14:paraId="744DEB58" w14:textId="77777777" w:rsidR="00511DAD" w:rsidRPr="00F56506" w:rsidRDefault="00000000" w:rsidP="00272EEC">
            <w:pPr>
              <w:spacing w:after="0" w:line="240" w:lineRule="auto"/>
            </w:pPr>
            <w:r w:rsidRPr="00F56506">
              <w:rPr>
                <w:sz w:val="17"/>
              </w:rPr>
              <w:t>Portfolio-level reporting becomes essential.</w:t>
            </w:r>
          </w:p>
        </w:tc>
      </w:tr>
      <w:tr w:rsidR="00511DAD" w:rsidRPr="00F56506" w14:paraId="472A03D7" w14:textId="77777777">
        <w:trPr>
          <w:jc w:val="center"/>
        </w:trPr>
        <w:tc>
          <w:tcPr>
            <w:tcW w:w="5112" w:type="dxa"/>
            <w:shd w:val="clear" w:color="auto" w:fill="F5F8FA"/>
            <w:tcMar>
              <w:top w:w="130" w:type="dxa"/>
              <w:left w:w="130" w:type="dxa"/>
              <w:bottom w:w="130" w:type="dxa"/>
              <w:right w:w="130" w:type="dxa"/>
            </w:tcMar>
          </w:tcPr>
          <w:p w14:paraId="7F194E21" w14:textId="670B05F6" w:rsidR="00511DAD" w:rsidRPr="00F56506" w:rsidRDefault="00000000" w:rsidP="00272EEC">
            <w:pPr>
              <w:spacing w:after="0" w:line="240" w:lineRule="auto"/>
            </w:pPr>
            <w:r w:rsidRPr="00F56506">
              <w:rPr>
                <w:sz w:val="17"/>
              </w:rPr>
              <w:t xml:space="preserve">Informal exceptions may </w:t>
            </w:r>
            <w:r w:rsidR="00E86AA5" w:rsidRPr="00F56506">
              <w:rPr>
                <w:sz w:val="17"/>
              </w:rPr>
              <w:t xml:space="preserve">have been allowable and </w:t>
            </w:r>
            <w:r w:rsidRPr="00F56506">
              <w:rPr>
                <w:sz w:val="17"/>
              </w:rPr>
              <w:t>manageable.</w:t>
            </w:r>
          </w:p>
        </w:tc>
        <w:tc>
          <w:tcPr>
            <w:tcW w:w="5112" w:type="dxa"/>
            <w:shd w:val="clear" w:color="auto" w:fill="F5F8FA"/>
            <w:tcMar>
              <w:top w:w="130" w:type="dxa"/>
              <w:left w:w="130" w:type="dxa"/>
              <w:bottom w:w="130" w:type="dxa"/>
              <w:right w:w="130" w:type="dxa"/>
            </w:tcMar>
          </w:tcPr>
          <w:p w14:paraId="08D75023" w14:textId="77777777" w:rsidR="00511DAD" w:rsidRPr="00F56506" w:rsidRDefault="00000000" w:rsidP="00272EEC">
            <w:pPr>
              <w:spacing w:after="0" w:line="240" w:lineRule="auto"/>
            </w:pPr>
            <w:r w:rsidRPr="00F56506">
              <w:rPr>
                <w:sz w:val="17"/>
              </w:rPr>
              <w:t>Exceptions create precedent, opacity, and uneven treatment.</w:t>
            </w:r>
          </w:p>
        </w:tc>
      </w:tr>
      <w:tr w:rsidR="00511DAD" w:rsidRPr="00F56506" w14:paraId="6EA77304" w14:textId="77777777">
        <w:trPr>
          <w:jc w:val="center"/>
        </w:trPr>
        <w:tc>
          <w:tcPr>
            <w:tcW w:w="5112" w:type="dxa"/>
            <w:shd w:val="clear" w:color="auto" w:fill="FFFFFF"/>
            <w:tcMar>
              <w:top w:w="130" w:type="dxa"/>
              <w:left w:w="130" w:type="dxa"/>
              <w:bottom w:w="130" w:type="dxa"/>
              <w:right w:w="130" w:type="dxa"/>
            </w:tcMar>
          </w:tcPr>
          <w:p w14:paraId="31E220A1" w14:textId="06D4D12F" w:rsidR="00511DAD" w:rsidRPr="00F56506" w:rsidRDefault="00000000" w:rsidP="00272EEC">
            <w:pPr>
              <w:spacing w:after="0" w:line="240" w:lineRule="auto"/>
            </w:pPr>
            <w:r w:rsidRPr="00F56506">
              <w:rPr>
                <w:sz w:val="17"/>
              </w:rPr>
              <w:t xml:space="preserve">Closure can be handled </w:t>
            </w:r>
            <w:r w:rsidR="00E86AA5" w:rsidRPr="00F56506">
              <w:rPr>
                <w:sz w:val="17"/>
              </w:rPr>
              <w:t>without dramatic impact</w:t>
            </w:r>
            <w:r w:rsidRPr="00F56506">
              <w:rPr>
                <w:sz w:val="17"/>
              </w:rPr>
              <w:t>.</w:t>
            </w:r>
          </w:p>
        </w:tc>
        <w:tc>
          <w:tcPr>
            <w:tcW w:w="5112" w:type="dxa"/>
            <w:shd w:val="clear" w:color="auto" w:fill="FFFFFF"/>
            <w:tcMar>
              <w:top w:w="130" w:type="dxa"/>
              <w:left w:w="130" w:type="dxa"/>
              <w:bottom w:w="130" w:type="dxa"/>
              <w:right w:w="130" w:type="dxa"/>
            </w:tcMar>
          </w:tcPr>
          <w:p w14:paraId="4B0A8BF1" w14:textId="77777777" w:rsidR="00511DAD" w:rsidRPr="00F56506" w:rsidRDefault="00000000" w:rsidP="00272EEC">
            <w:pPr>
              <w:spacing w:after="0" w:line="240" w:lineRule="auto"/>
            </w:pPr>
            <w:r w:rsidRPr="00F56506">
              <w:rPr>
                <w:sz w:val="17"/>
              </w:rPr>
              <w:t>Maturity and close-out rules must be systematic.</w:t>
            </w:r>
          </w:p>
        </w:tc>
      </w:tr>
      <w:tr w:rsidR="00511DAD" w:rsidRPr="00F56506" w14:paraId="03F5724E" w14:textId="77777777">
        <w:trPr>
          <w:jc w:val="center"/>
        </w:trPr>
        <w:tc>
          <w:tcPr>
            <w:tcW w:w="5112" w:type="dxa"/>
            <w:shd w:val="clear" w:color="auto" w:fill="F5F8FA"/>
            <w:tcMar>
              <w:top w:w="130" w:type="dxa"/>
              <w:left w:w="130" w:type="dxa"/>
              <w:bottom w:w="130" w:type="dxa"/>
              <w:right w:w="130" w:type="dxa"/>
            </w:tcMar>
          </w:tcPr>
          <w:p w14:paraId="28F451D2" w14:textId="77777777" w:rsidR="00511DAD" w:rsidRPr="00F56506" w:rsidRDefault="00000000" w:rsidP="00272EEC">
            <w:pPr>
              <w:spacing w:after="0" w:line="240" w:lineRule="auto"/>
            </w:pPr>
            <w:r w:rsidRPr="00F56506">
              <w:rPr>
                <w:sz w:val="17"/>
              </w:rPr>
              <w:t>Balances can be discussed in aggregate.</w:t>
            </w:r>
          </w:p>
        </w:tc>
        <w:tc>
          <w:tcPr>
            <w:tcW w:w="5112" w:type="dxa"/>
            <w:shd w:val="clear" w:color="auto" w:fill="F5F8FA"/>
            <w:tcMar>
              <w:top w:w="130" w:type="dxa"/>
              <w:left w:w="130" w:type="dxa"/>
              <w:bottom w:w="130" w:type="dxa"/>
              <w:right w:w="130" w:type="dxa"/>
            </w:tcMar>
          </w:tcPr>
          <w:p w14:paraId="3FF3B863" w14:textId="77777777" w:rsidR="00511DAD" w:rsidRPr="00F56506" w:rsidRDefault="00000000" w:rsidP="00272EEC">
            <w:pPr>
              <w:spacing w:after="0" w:line="240" w:lineRule="auto"/>
            </w:pPr>
            <w:r w:rsidRPr="00F56506">
              <w:rPr>
                <w:sz w:val="17"/>
              </w:rPr>
              <w:t>Obligations and uncommitted funds require district disclosure.</w:t>
            </w:r>
          </w:p>
        </w:tc>
      </w:tr>
      <w:tr w:rsidR="00511DAD" w:rsidRPr="00F56506" w14:paraId="204DE86F" w14:textId="77777777">
        <w:trPr>
          <w:jc w:val="center"/>
        </w:trPr>
        <w:tc>
          <w:tcPr>
            <w:tcW w:w="5112" w:type="dxa"/>
            <w:shd w:val="clear" w:color="auto" w:fill="FFFFFF"/>
            <w:tcMar>
              <w:top w:w="130" w:type="dxa"/>
              <w:left w:w="130" w:type="dxa"/>
              <w:bottom w:w="130" w:type="dxa"/>
              <w:right w:w="130" w:type="dxa"/>
            </w:tcMar>
          </w:tcPr>
          <w:p w14:paraId="7A2EC09F" w14:textId="29FC178F" w:rsidR="00511DAD" w:rsidRPr="00F56506" w:rsidRDefault="00000000" w:rsidP="00272EEC">
            <w:pPr>
              <w:spacing w:after="0" w:line="240" w:lineRule="auto"/>
            </w:pPr>
            <w:r w:rsidRPr="00F56506">
              <w:rPr>
                <w:sz w:val="17"/>
              </w:rPr>
              <w:t xml:space="preserve">Success may be described </w:t>
            </w:r>
            <w:r w:rsidR="00E86AA5" w:rsidRPr="00F56506">
              <w:rPr>
                <w:sz w:val="17"/>
              </w:rPr>
              <w:t>in sweeping terms</w:t>
            </w:r>
            <w:r w:rsidRPr="00F56506">
              <w:rPr>
                <w:sz w:val="17"/>
              </w:rPr>
              <w:t>.</w:t>
            </w:r>
          </w:p>
        </w:tc>
        <w:tc>
          <w:tcPr>
            <w:tcW w:w="5112" w:type="dxa"/>
            <w:shd w:val="clear" w:color="auto" w:fill="FFFFFF"/>
            <w:tcMar>
              <w:top w:w="130" w:type="dxa"/>
              <w:left w:w="130" w:type="dxa"/>
              <w:bottom w:w="130" w:type="dxa"/>
              <w:right w:w="130" w:type="dxa"/>
            </w:tcMar>
          </w:tcPr>
          <w:p w14:paraId="6EA08CFE" w14:textId="77777777" w:rsidR="00511DAD" w:rsidRPr="00F56506" w:rsidRDefault="00000000" w:rsidP="00272EEC">
            <w:pPr>
              <w:spacing w:after="0" w:line="240" w:lineRule="auto"/>
            </w:pPr>
            <w:r w:rsidRPr="00F56506">
              <w:rPr>
                <w:sz w:val="17"/>
              </w:rPr>
              <w:t>Outcomes should be measured consistently.</w:t>
            </w:r>
          </w:p>
        </w:tc>
      </w:tr>
    </w:tbl>
    <w:p w14:paraId="67DA9D0C" w14:textId="77777777" w:rsidR="00511DAD" w:rsidRPr="00F56506" w:rsidRDefault="00511DAD" w:rsidP="00272EEC">
      <w:pPr>
        <w:spacing w:after="0" w:line="240" w:lineRule="auto"/>
      </w:pPr>
    </w:p>
    <w:p w14:paraId="7524345E" w14:textId="77777777" w:rsidR="00511DAD" w:rsidRPr="00F56506" w:rsidRDefault="00511DAD" w:rsidP="00272EEC">
      <w:pPr>
        <w:spacing w:after="0" w:line="240" w:lineRule="auto"/>
      </w:pPr>
    </w:p>
    <w:p w14:paraId="08F9FABB" w14:textId="77777777" w:rsidR="00511DAD" w:rsidRPr="00F56506" w:rsidRDefault="00000000" w:rsidP="00272EEC">
      <w:pPr>
        <w:spacing w:after="0" w:line="240" w:lineRule="auto"/>
      </w:pPr>
      <w:r w:rsidRPr="00F56506">
        <w:br w:type="page"/>
      </w:r>
    </w:p>
    <w:p w14:paraId="79147FB8" w14:textId="77777777" w:rsidR="00511DAD" w:rsidRPr="00F56506" w:rsidRDefault="00000000" w:rsidP="00272EEC">
      <w:pPr>
        <w:spacing w:after="0" w:line="240" w:lineRule="auto"/>
      </w:pPr>
      <w:r w:rsidRPr="00F56506">
        <w:rPr>
          <w:b/>
          <w:color w:val="2A9D8F"/>
          <w:sz w:val="18"/>
        </w:rPr>
        <w:lastRenderedPageBreak/>
        <w:t>SECTION 04</w:t>
      </w:r>
    </w:p>
    <w:p w14:paraId="2274A0FE" w14:textId="77777777" w:rsidR="00511DAD" w:rsidRPr="00F56506" w:rsidRDefault="00000000" w:rsidP="00272EEC">
      <w:pPr>
        <w:pStyle w:val="Heading1"/>
        <w:pBdr>
          <w:bottom w:val="single" w:sz="14" w:space="6" w:color="18324A"/>
        </w:pBdr>
        <w:spacing w:line="240" w:lineRule="auto"/>
        <w:rPr>
          <w:rFonts w:ascii="Aptos" w:hAnsi="Aptos"/>
        </w:rPr>
      </w:pPr>
      <w:r w:rsidRPr="00F56506">
        <w:rPr>
          <w:rFonts w:ascii="Aptos" w:hAnsi="Aptos"/>
        </w:rPr>
        <w:t>How TIF Works - and Why Governance Matters</w:t>
      </w:r>
    </w:p>
    <w:p w14:paraId="73D67085" w14:textId="77777777" w:rsidR="00E5558A" w:rsidRDefault="00E5558A" w:rsidP="00272EEC">
      <w:pPr>
        <w:keepLines/>
        <w:spacing w:after="0" w:line="240" w:lineRule="auto"/>
      </w:pPr>
    </w:p>
    <w:p w14:paraId="11881D06" w14:textId="150B76BA" w:rsidR="00511DAD" w:rsidRPr="00F56506" w:rsidRDefault="00F56506" w:rsidP="00272EEC">
      <w:pPr>
        <w:keepLines/>
        <w:spacing w:after="0" w:line="240" w:lineRule="auto"/>
      </w:pPr>
      <w:r w:rsidRPr="00F56506">
        <w:t xml:space="preserve">Though </w:t>
      </w:r>
      <w:r w:rsidR="00882491">
        <w:t xml:space="preserve">a </w:t>
      </w:r>
      <w:r w:rsidRPr="00F56506">
        <w:t>Chicago City Council</w:t>
      </w:r>
      <w:r w:rsidR="00882491">
        <w:t xml:space="preserve"> ordinance</w:t>
      </w:r>
      <w:r w:rsidRPr="00F56506">
        <w:t>, a</w:t>
      </w:r>
      <w:r w:rsidRPr="00F56506">
        <w:t xml:space="preserve"> base level of equalized assessed value </w:t>
      </w:r>
      <w:r w:rsidRPr="00F56506">
        <w:t xml:space="preserve">is </w:t>
      </w:r>
      <w:r w:rsidR="00000000" w:rsidRPr="00F56506">
        <w:t>establishe</w:t>
      </w:r>
      <w:r w:rsidRPr="00F56506">
        <w:t>d</w:t>
      </w:r>
      <w:r w:rsidR="00000000" w:rsidRPr="00F56506">
        <w:t xml:space="preserve"> </w:t>
      </w:r>
      <w:r w:rsidRPr="00F56506">
        <w:t>according to a TIF’s designated boundary</w:t>
      </w:r>
      <w:r w:rsidR="00000000" w:rsidRPr="00F56506">
        <w:t xml:space="preserve">. As property values within the </w:t>
      </w:r>
      <w:r w:rsidRPr="00F56506">
        <w:t xml:space="preserve">TIF </w:t>
      </w:r>
      <w:r w:rsidR="00000000" w:rsidRPr="00F56506">
        <w:t xml:space="preserve">district grow above that base, the increment </w:t>
      </w:r>
      <w:r w:rsidRPr="00F56506">
        <w:t xml:space="preserve">is multiplied by the tax rate of the area to arrive at a revenue amount.  The revenue </w:t>
      </w:r>
      <w:r w:rsidR="00000000" w:rsidRPr="00F56506">
        <w:t xml:space="preserve">is deposited into the district's TIF fund for eligible redevelopment costs. </w:t>
      </w:r>
      <w:r w:rsidRPr="00F56506">
        <w:t xml:space="preserve">Of issue </w:t>
      </w:r>
      <w:r w:rsidR="00000000" w:rsidRPr="00F56506">
        <w:t xml:space="preserve">is where incremental revenue is directed during the </w:t>
      </w:r>
      <w:r w:rsidRPr="00F56506">
        <w:t xml:space="preserve">TIF </w:t>
      </w:r>
      <w:r w:rsidR="00000000" w:rsidRPr="00F56506">
        <w:t>district's life.</w:t>
      </w:r>
    </w:p>
    <w:p w14:paraId="2DCE20DC" w14:textId="3D4A278D" w:rsidR="00511DAD" w:rsidRPr="00F56506" w:rsidRDefault="00000000" w:rsidP="00272EEC">
      <w:pPr>
        <w:pStyle w:val="Heading2"/>
        <w:spacing w:line="240" w:lineRule="auto"/>
        <w:rPr>
          <w:rFonts w:ascii="Aptos" w:hAnsi="Aptos"/>
        </w:rPr>
      </w:pPr>
      <w:r w:rsidRPr="00F56506">
        <w:rPr>
          <w:rFonts w:ascii="Aptos" w:hAnsi="Aptos"/>
        </w:rPr>
        <w:t>The governance challeng</w:t>
      </w:r>
      <w:r w:rsidR="00F56506" w:rsidRPr="00F56506">
        <w:rPr>
          <w:rFonts w:ascii="Aptos" w:hAnsi="Aptos"/>
        </w:rPr>
        <w:t>e</w:t>
      </w:r>
    </w:p>
    <w:p w14:paraId="57CF5BCE" w14:textId="3C3A4DF0" w:rsidR="00511DAD" w:rsidRPr="00F56506" w:rsidRDefault="00000000" w:rsidP="00272EEC">
      <w:pPr>
        <w:pStyle w:val="ListBullet"/>
        <w:spacing w:after="0" w:line="240" w:lineRule="auto"/>
      </w:pPr>
      <w:r w:rsidRPr="00F56506">
        <w:t>Designation determines which geography and tax base enter the district</w:t>
      </w:r>
      <w:r w:rsidR="00882491">
        <w:t>:  base year, boundaries, adjoining TIFs, etc.</w:t>
      </w:r>
    </w:p>
    <w:p w14:paraId="4901DD67" w14:textId="3251CB0D" w:rsidR="00511DAD" w:rsidRPr="00F56506" w:rsidRDefault="00000000" w:rsidP="00272EEC">
      <w:pPr>
        <w:pStyle w:val="ListBullet"/>
        <w:spacing w:after="0" w:line="240" w:lineRule="auto"/>
      </w:pPr>
      <w:r w:rsidRPr="00F56506">
        <w:t xml:space="preserve">Project selection determines how the </w:t>
      </w:r>
      <w:r w:rsidR="00882491">
        <w:t>revenue</w:t>
      </w:r>
      <w:r w:rsidRPr="00F56506">
        <w:t xml:space="preserve"> is </w:t>
      </w:r>
      <w:r w:rsidR="00882491">
        <w:t>distributed</w:t>
      </w:r>
    </w:p>
    <w:p w14:paraId="6797A403" w14:textId="00CF270A" w:rsidR="00511DAD" w:rsidRPr="00F56506" w:rsidRDefault="00000000" w:rsidP="00272EEC">
      <w:pPr>
        <w:pStyle w:val="ListBullet"/>
        <w:spacing w:after="0" w:line="240" w:lineRule="auto"/>
      </w:pPr>
      <w:r w:rsidRPr="00F56506">
        <w:t xml:space="preserve">Portability determines </w:t>
      </w:r>
      <w:r w:rsidR="00882491">
        <w:t>if</w:t>
      </w:r>
      <w:r w:rsidRPr="00F56506">
        <w:t xml:space="preserve"> money may move between connected </w:t>
      </w:r>
      <w:r w:rsidR="00882491">
        <w:t xml:space="preserve">TIF </w:t>
      </w:r>
      <w:r w:rsidRPr="00F56506">
        <w:t>districts.</w:t>
      </w:r>
    </w:p>
    <w:p w14:paraId="3F7C0100" w14:textId="77777777" w:rsidR="00511DAD" w:rsidRPr="00F56506" w:rsidRDefault="00000000" w:rsidP="00272EEC">
      <w:pPr>
        <w:pStyle w:val="ListBullet"/>
        <w:spacing w:after="0" w:line="240" w:lineRule="auto"/>
      </w:pPr>
      <w:r w:rsidRPr="00F56506">
        <w:t>Obligations determine how much of a balance is genuinely available.</w:t>
      </w:r>
    </w:p>
    <w:p w14:paraId="133F24C9" w14:textId="5C16A9D1" w:rsidR="00511DAD" w:rsidRPr="00F56506" w:rsidRDefault="00000000" w:rsidP="00272EEC">
      <w:pPr>
        <w:pStyle w:val="ListBullet"/>
        <w:spacing w:after="0" w:line="240" w:lineRule="auto"/>
      </w:pPr>
      <w:r w:rsidRPr="00F56506">
        <w:t>Surplus policy determines when excess resources return to taxing districts</w:t>
      </w:r>
      <w:r w:rsidR="00882491">
        <w:t>: Chicago Public Schools, City of Chicago, Cook County, etc.</w:t>
      </w:r>
    </w:p>
    <w:p w14:paraId="7872E6F1" w14:textId="77777777" w:rsidR="00511DAD" w:rsidRDefault="00000000" w:rsidP="00272EEC">
      <w:pPr>
        <w:pStyle w:val="ListBullet"/>
        <w:spacing w:after="0" w:line="240" w:lineRule="auto"/>
      </w:pPr>
      <w:r w:rsidRPr="00F56506">
        <w:t>Extension and closure determine how long incremental value remains inside the system.</w:t>
      </w:r>
    </w:p>
    <w:p w14:paraId="0A0C9CFB" w14:textId="77777777" w:rsidR="00C67C17" w:rsidRPr="00F56506" w:rsidRDefault="00C67C17" w:rsidP="00C67C17">
      <w:pPr>
        <w:pStyle w:val="ListBullet"/>
        <w:numPr>
          <w:ilvl w:val="0"/>
          <w:numId w:val="0"/>
        </w:numPr>
        <w:spacing w:after="0" w:line="240" w:lineRule="auto"/>
      </w:pPr>
    </w:p>
    <w:tbl>
      <w:tblPr>
        <w:tblW w:w="0" w:type="auto"/>
        <w:jc w:val="center"/>
        <w:tblLook w:val="04A0" w:firstRow="1" w:lastRow="0" w:firstColumn="1" w:lastColumn="0" w:noHBand="0" w:noVBand="1"/>
      </w:tblPr>
      <w:tblGrid>
        <w:gridCol w:w="10199"/>
      </w:tblGrid>
      <w:tr w:rsidR="00511DAD" w:rsidRPr="00F56506" w14:paraId="76F5D55E" w14:textId="77777777">
        <w:trPr>
          <w:jc w:val="center"/>
        </w:trPr>
        <w:tc>
          <w:tcPr>
            <w:tcW w:w="10224" w:type="dxa"/>
            <w:tcBorders>
              <w:left w:val="single" w:sz="20" w:space="0" w:color="246A8A"/>
            </w:tcBorders>
            <w:shd w:val="clear" w:color="auto" w:fill="EAF1F5"/>
            <w:tcMar>
              <w:top w:w="190" w:type="dxa"/>
              <w:left w:w="190" w:type="dxa"/>
              <w:bottom w:w="190" w:type="dxa"/>
              <w:right w:w="190" w:type="dxa"/>
            </w:tcMar>
          </w:tcPr>
          <w:p w14:paraId="6B12A708" w14:textId="77777777" w:rsidR="00511DAD" w:rsidRPr="00F56506" w:rsidRDefault="00000000" w:rsidP="00272EEC">
            <w:pPr>
              <w:spacing w:after="0" w:line="240" w:lineRule="auto"/>
            </w:pPr>
            <w:r w:rsidRPr="00F56506">
              <w:rPr>
                <w:b/>
                <w:color w:val="246A8A"/>
                <w:sz w:val="20"/>
              </w:rPr>
              <w:t>PUBLIC-FINANCE PRINCIPLE</w:t>
            </w:r>
          </w:p>
          <w:p w14:paraId="459EC4EF" w14:textId="2F3C61D9" w:rsidR="00511DAD" w:rsidRPr="00F56506" w:rsidRDefault="00000000" w:rsidP="00272EEC">
            <w:pPr>
              <w:spacing w:after="0" w:line="240" w:lineRule="auto"/>
            </w:pPr>
            <w:r w:rsidRPr="00F56506">
              <w:t xml:space="preserve">Because TIF is part of the broader property-tax system, it should be governed with clear definitions, reliable data, </w:t>
            </w:r>
            <w:r w:rsidR="00943266">
              <w:t>well-communicated</w:t>
            </w:r>
            <w:r w:rsidRPr="00F56506">
              <w:t xml:space="preserve"> decisions, and consistent public reporting.</w:t>
            </w:r>
          </w:p>
        </w:tc>
      </w:tr>
    </w:tbl>
    <w:p w14:paraId="50078177" w14:textId="77777777" w:rsidR="00511DAD" w:rsidRPr="00F56506" w:rsidRDefault="00511DAD" w:rsidP="00272EEC">
      <w:pPr>
        <w:spacing w:after="0" w:line="240" w:lineRule="auto"/>
      </w:pPr>
    </w:p>
    <w:tbl>
      <w:tblPr>
        <w:tblStyle w:val="TableGrid"/>
        <w:tblW w:w="0" w:type="auto"/>
        <w:jc w:val="center"/>
        <w:tblLook w:val="04A0" w:firstRow="1" w:lastRow="0" w:firstColumn="1" w:lastColumn="0" w:noHBand="0" w:noVBand="1"/>
      </w:tblPr>
      <w:tblGrid>
        <w:gridCol w:w="5107"/>
        <w:gridCol w:w="5107"/>
      </w:tblGrid>
      <w:tr w:rsidR="00511DAD" w:rsidRPr="00F56506" w14:paraId="0FFD2BBC" w14:textId="77777777">
        <w:trPr>
          <w:jc w:val="center"/>
        </w:trPr>
        <w:tc>
          <w:tcPr>
            <w:tcW w:w="5112" w:type="dxa"/>
            <w:shd w:val="clear" w:color="auto" w:fill="18324A"/>
            <w:tcMar>
              <w:top w:w="130" w:type="dxa"/>
              <w:left w:w="130" w:type="dxa"/>
              <w:bottom w:w="130" w:type="dxa"/>
              <w:right w:w="130" w:type="dxa"/>
            </w:tcMar>
          </w:tcPr>
          <w:p w14:paraId="4AFE97E8" w14:textId="77777777" w:rsidR="00511DAD" w:rsidRPr="00F56506" w:rsidRDefault="00000000" w:rsidP="00272EEC">
            <w:pPr>
              <w:spacing w:after="0" w:line="240" w:lineRule="auto"/>
            </w:pPr>
            <w:r w:rsidRPr="00F56506">
              <w:rPr>
                <w:b/>
                <w:color w:val="FFFFFF"/>
                <w:sz w:val="18"/>
              </w:rPr>
              <w:t>Question taxpayers ask</w:t>
            </w:r>
          </w:p>
        </w:tc>
        <w:tc>
          <w:tcPr>
            <w:tcW w:w="5112" w:type="dxa"/>
            <w:shd w:val="clear" w:color="auto" w:fill="18324A"/>
            <w:tcMar>
              <w:top w:w="130" w:type="dxa"/>
              <w:left w:w="130" w:type="dxa"/>
              <w:bottom w:w="130" w:type="dxa"/>
              <w:right w:w="130" w:type="dxa"/>
            </w:tcMar>
          </w:tcPr>
          <w:p w14:paraId="24168BC8" w14:textId="77777777" w:rsidR="00511DAD" w:rsidRPr="00F56506" w:rsidRDefault="00000000" w:rsidP="00272EEC">
            <w:pPr>
              <w:spacing w:after="0" w:line="240" w:lineRule="auto"/>
            </w:pPr>
            <w:r w:rsidRPr="00F56506">
              <w:rPr>
                <w:b/>
                <w:color w:val="FFFFFF"/>
                <w:sz w:val="18"/>
              </w:rPr>
              <w:t>Information the city should publish</w:t>
            </w:r>
          </w:p>
        </w:tc>
      </w:tr>
      <w:tr w:rsidR="00511DAD" w:rsidRPr="00F56506" w14:paraId="2F3A24F6" w14:textId="77777777">
        <w:trPr>
          <w:jc w:val="center"/>
        </w:trPr>
        <w:tc>
          <w:tcPr>
            <w:tcW w:w="5112" w:type="dxa"/>
            <w:shd w:val="clear" w:color="auto" w:fill="FFFFFF"/>
            <w:tcMar>
              <w:top w:w="130" w:type="dxa"/>
              <w:left w:w="130" w:type="dxa"/>
              <w:bottom w:w="130" w:type="dxa"/>
              <w:right w:w="130" w:type="dxa"/>
            </w:tcMar>
          </w:tcPr>
          <w:p w14:paraId="7E8387FC" w14:textId="5C93FE30" w:rsidR="00511DAD" w:rsidRPr="00F56506" w:rsidRDefault="00000000" w:rsidP="00272EEC">
            <w:pPr>
              <w:spacing w:after="0" w:line="240" w:lineRule="auto"/>
            </w:pPr>
            <w:r w:rsidRPr="00F56506">
              <w:rPr>
                <w:sz w:val="17"/>
              </w:rPr>
              <w:t xml:space="preserve">How much is in the </w:t>
            </w:r>
            <w:r w:rsidR="00882491">
              <w:rPr>
                <w:sz w:val="17"/>
              </w:rPr>
              <w:t xml:space="preserve">TIF </w:t>
            </w:r>
            <w:r w:rsidRPr="00F56506">
              <w:rPr>
                <w:sz w:val="17"/>
              </w:rPr>
              <w:t>district?</w:t>
            </w:r>
          </w:p>
        </w:tc>
        <w:tc>
          <w:tcPr>
            <w:tcW w:w="5112" w:type="dxa"/>
            <w:shd w:val="clear" w:color="auto" w:fill="FFFFFF"/>
            <w:tcMar>
              <w:top w:w="130" w:type="dxa"/>
              <w:left w:w="130" w:type="dxa"/>
              <w:bottom w:w="130" w:type="dxa"/>
              <w:right w:w="130" w:type="dxa"/>
            </w:tcMar>
          </w:tcPr>
          <w:p w14:paraId="1704D3B3" w14:textId="77777777" w:rsidR="00511DAD" w:rsidRPr="00F56506" w:rsidRDefault="00000000" w:rsidP="00272EEC">
            <w:pPr>
              <w:spacing w:after="0" w:line="240" w:lineRule="auto"/>
            </w:pPr>
            <w:r w:rsidRPr="00F56506">
              <w:rPr>
                <w:sz w:val="17"/>
              </w:rPr>
              <w:t>Cash balance, investments, receivables, and reconciliation.</w:t>
            </w:r>
          </w:p>
        </w:tc>
      </w:tr>
      <w:tr w:rsidR="00511DAD" w:rsidRPr="00F56506" w14:paraId="4B343001" w14:textId="77777777">
        <w:trPr>
          <w:jc w:val="center"/>
        </w:trPr>
        <w:tc>
          <w:tcPr>
            <w:tcW w:w="5112" w:type="dxa"/>
            <w:shd w:val="clear" w:color="auto" w:fill="F5F8FA"/>
            <w:tcMar>
              <w:top w:w="130" w:type="dxa"/>
              <w:left w:w="130" w:type="dxa"/>
              <w:bottom w:w="130" w:type="dxa"/>
              <w:right w:w="130" w:type="dxa"/>
            </w:tcMar>
          </w:tcPr>
          <w:p w14:paraId="64A8CE47" w14:textId="77777777" w:rsidR="00511DAD" w:rsidRPr="00F56506" w:rsidRDefault="00000000" w:rsidP="00272EEC">
            <w:pPr>
              <w:spacing w:after="0" w:line="240" w:lineRule="auto"/>
            </w:pPr>
            <w:r w:rsidRPr="00F56506">
              <w:rPr>
                <w:sz w:val="17"/>
              </w:rPr>
              <w:t>How much is committed?</w:t>
            </w:r>
          </w:p>
        </w:tc>
        <w:tc>
          <w:tcPr>
            <w:tcW w:w="5112" w:type="dxa"/>
            <w:shd w:val="clear" w:color="auto" w:fill="F5F8FA"/>
            <w:tcMar>
              <w:top w:w="130" w:type="dxa"/>
              <w:left w:w="130" w:type="dxa"/>
              <w:bottom w:w="130" w:type="dxa"/>
              <w:right w:w="130" w:type="dxa"/>
            </w:tcMar>
          </w:tcPr>
          <w:p w14:paraId="3AFE5CA0" w14:textId="0A7F2D4D" w:rsidR="00511DAD" w:rsidRPr="00F56506" w:rsidRDefault="00882491" w:rsidP="00272EEC">
            <w:pPr>
              <w:spacing w:after="0" w:line="240" w:lineRule="auto"/>
            </w:pPr>
            <w:r>
              <w:rPr>
                <w:sz w:val="17"/>
              </w:rPr>
              <w:t xml:space="preserve">TIF </w:t>
            </w:r>
            <w:r w:rsidR="00000000" w:rsidRPr="00F56506">
              <w:rPr>
                <w:sz w:val="17"/>
              </w:rPr>
              <w:t>Obligation schedule by project, agreement, debt, and payment year.</w:t>
            </w:r>
          </w:p>
        </w:tc>
      </w:tr>
      <w:tr w:rsidR="00511DAD" w:rsidRPr="00F56506" w14:paraId="2E41B83D" w14:textId="77777777">
        <w:trPr>
          <w:jc w:val="center"/>
        </w:trPr>
        <w:tc>
          <w:tcPr>
            <w:tcW w:w="5112" w:type="dxa"/>
            <w:shd w:val="clear" w:color="auto" w:fill="FFFFFF"/>
            <w:tcMar>
              <w:top w:w="130" w:type="dxa"/>
              <w:left w:w="130" w:type="dxa"/>
              <w:bottom w:w="130" w:type="dxa"/>
              <w:right w:w="130" w:type="dxa"/>
            </w:tcMar>
          </w:tcPr>
          <w:p w14:paraId="2C2273F3" w14:textId="77777777" w:rsidR="00511DAD" w:rsidRPr="00F56506" w:rsidRDefault="00000000" w:rsidP="00272EEC">
            <w:pPr>
              <w:spacing w:after="0" w:line="240" w:lineRule="auto"/>
            </w:pPr>
            <w:r w:rsidRPr="00F56506">
              <w:rPr>
                <w:sz w:val="17"/>
              </w:rPr>
              <w:t>How much is uncommitted?</w:t>
            </w:r>
          </w:p>
        </w:tc>
        <w:tc>
          <w:tcPr>
            <w:tcW w:w="5112" w:type="dxa"/>
            <w:shd w:val="clear" w:color="auto" w:fill="FFFFFF"/>
            <w:tcMar>
              <w:top w:w="130" w:type="dxa"/>
              <w:left w:w="130" w:type="dxa"/>
              <w:bottom w:w="130" w:type="dxa"/>
              <w:right w:w="130" w:type="dxa"/>
            </w:tcMar>
          </w:tcPr>
          <w:p w14:paraId="40C70619" w14:textId="77777777" w:rsidR="00511DAD" w:rsidRPr="00F56506" w:rsidRDefault="00000000" w:rsidP="00272EEC">
            <w:pPr>
              <w:spacing w:after="0" w:line="240" w:lineRule="auto"/>
            </w:pPr>
            <w:r w:rsidRPr="00F56506">
              <w:rPr>
                <w:sz w:val="17"/>
              </w:rPr>
              <w:t>A standardized calculation with exclusions and confidence level.</w:t>
            </w:r>
          </w:p>
        </w:tc>
      </w:tr>
      <w:tr w:rsidR="00511DAD" w:rsidRPr="00F56506" w14:paraId="1EF51678" w14:textId="77777777">
        <w:trPr>
          <w:jc w:val="center"/>
        </w:trPr>
        <w:tc>
          <w:tcPr>
            <w:tcW w:w="5112" w:type="dxa"/>
            <w:shd w:val="clear" w:color="auto" w:fill="F5F8FA"/>
            <w:tcMar>
              <w:top w:w="130" w:type="dxa"/>
              <w:left w:w="130" w:type="dxa"/>
              <w:bottom w:w="130" w:type="dxa"/>
              <w:right w:w="130" w:type="dxa"/>
            </w:tcMar>
          </w:tcPr>
          <w:p w14:paraId="2A45B6C1" w14:textId="77777777" w:rsidR="00511DAD" w:rsidRPr="00F56506" w:rsidRDefault="00000000" w:rsidP="00272EEC">
            <w:pPr>
              <w:spacing w:after="0" w:line="240" w:lineRule="auto"/>
            </w:pPr>
            <w:r w:rsidRPr="00F56506">
              <w:rPr>
                <w:sz w:val="17"/>
              </w:rPr>
              <w:t>What did it accomplish?</w:t>
            </w:r>
          </w:p>
        </w:tc>
        <w:tc>
          <w:tcPr>
            <w:tcW w:w="5112" w:type="dxa"/>
            <w:shd w:val="clear" w:color="auto" w:fill="F5F8FA"/>
            <w:tcMar>
              <w:top w:w="130" w:type="dxa"/>
              <w:left w:w="130" w:type="dxa"/>
              <w:bottom w:w="130" w:type="dxa"/>
              <w:right w:w="130" w:type="dxa"/>
            </w:tcMar>
          </w:tcPr>
          <w:p w14:paraId="4F80E59A" w14:textId="77777777" w:rsidR="00511DAD" w:rsidRPr="00F56506" w:rsidRDefault="00000000" w:rsidP="00272EEC">
            <w:pPr>
              <w:spacing w:after="0" w:line="240" w:lineRule="auto"/>
            </w:pPr>
            <w:r w:rsidRPr="00F56506">
              <w:rPr>
                <w:sz w:val="17"/>
              </w:rPr>
              <w:t>Projects, private leverage, jobs, housing, infrastructure, and tax-base change.</w:t>
            </w:r>
          </w:p>
        </w:tc>
      </w:tr>
      <w:tr w:rsidR="00511DAD" w:rsidRPr="00F56506" w14:paraId="4E981705" w14:textId="77777777">
        <w:trPr>
          <w:jc w:val="center"/>
        </w:trPr>
        <w:tc>
          <w:tcPr>
            <w:tcW w:w="5112" w:type="dxa"/>
            <w:shd w:val="clear" w:color="auto" w:fill="FFFFFF"/>
            <w:tcMar>
              <w:top w:w="130" w:type="dxa"/>
              <w:left w:w="130" w:type="dxa"/>
              <w:bottom w:w="130" w:type="dxa"/>
              <w:right w:w="130" w:type="dxa"/>
            </w:tcMar>
          </w:tcPr>
          <w:p w14:paraId="3B6BC50C" w14:textId="77777777" w:rsidR="00511DAD" w:rsidRPr="00F56506" w:rsidRDefault="00000000" w:rsidP="00272EEC">
            <w:pPr>
              <w:spacing w:after="0" w:line="240" w:lineRule="auto"/>
            </w:pPr>
            <w:r w:rsidRPr="00F56506">
              <w:rPr>
                <w:sz w:val="17"/>
              </w:rPr>
              <w:t>Why is it still open?</w:t>
            </w:r>
          </w:p>
        </w:tc>
        <w:tc>
          <w:tcPr>
            <w:tcW w:w="5112" w:type="dxa"/>
            <w:shd w:val="clear" w:color="auto" w:fill="FFFFFF"/>
            <w:tcMar>
              <w:top w:w="130" w:type="dxa"/>
              <w:left w:w="130" w:type="dxa"/>
              <w:bottom w:w="130" w:type="dxa"/>
              <w:right w:w="130" w:type="dxa"/>
            </w:tcMar>
          </w:tcPr>
          <w:p w14:paraId="307333D4" w14:textId="77777777" w:rsidR="00511DAD" w:rsidRPr="00F56506" w:rsidRDefault="00000000" w:rsidP="00272EEC">
            <w:pPr>
              <w:spacing w:after="0" w:line="240" w:lineRule="auto"/>
            </w:pPr>
            <w:r w:rsidRPr="00F56506">
              <w:rPr>
                <w:sz w:val="17"/>
              </w:rPr>
              <w:t>Remaining need, maturity test, and extension/closure rationale.</w:t>
            </w:r>
          </w:p>
        </w:tc>
      </w:tr>
    </w:tbl>
    <w:p w14:paraId="3BB7EDD6" w14:textId="77777777" w:rsidR="00511DAD" w:rsidRPr="00F56506" w:rsidRDefault="00511DAD" w:rsidP="00272EEC">
      <w:pPr>
        <w:spacing w:after="0" w:line="240" w:lineRule="auto"/>
      </w:pPr>
    </w:p>
    <w:p w14:paraId="1A2C0E79" w14:textId="77777777" w:rsidR="00511DAD" w:rsidRPr="00F56506" w:rsidRDefault="00000000" w:rsidP="00272EEC">
      <w:pPr>
        <w:spacing w:after="0" w:line="240" w:lineRule="auto"/>
      </w:pPr>
      <w:r w:rsidRPr="00F56506">
        <w:br w:type="page"/>
      </w:r>
    </w:p>
    <w:p w14:paraId="273408BB" w14:textId="77777777" w:rsidR="00511DAD" w:rsidRPr="00F56506" w:rsidRDefault="00000000" w:rsidP="00272EEC">
      <w:pPr>
        <w:spacing w:after="0" w:line="240" w:lineRule="auto"/>
      </w:pPr>
      <w:r w:rsidRPr="00F56506">
        <w:rPr>
          <w:b/>
          <w:color w:val="2A9D8F"/>
          <w:sz w:val="18"/>
        </w:rPr>
        <w:lastRenderedPageBreak/>
        <w:t>SECTION 05</w:t>
      </w:r>
    </w:p>
    <w:p w14:paraId="123FC06F" w14:textId="77777777" w:rsidR="00511DAD" w:rsidRPr="00F56506" w:rsidRDefault="00000000" w:rsidP="00272EEC">
      <w:pPr>
        <w:pStyle w:val="Heading1"/>
        <w:pBdr>
          <w:bottom w:val="single" w:sz="14" w:space="6" w:color="18324A"/>
        </w:pBdr>
        <w:spacing w:line="240" w:lineRule="auto"/>
        <w:rPr>
          <w:rFonts w:ascii="Aptos" w:hAnsi="Aptos"/>
        </w:rPr>
      </w:pPr>
      <w:r w:rsidRPr="00F56506">
        <w:rPr>
          <w:rFonts w:ascii="Aptos" w:hAnsi="Aptos"/>
        </w:rPr>
        <w:t>Governance Failure Modes</w:t>
      </w:r>
    </w:p>
    <w:p w14:paraId="742B0C0C" w14:textId="77777777" w:rsidR="00511DAD" w:rsidRPr="00F56506" w:rsidRDefault="00000000" w:rsidP="00272EEC">
      <w:pPr>
        <w:pStyle w:val="Heading2"/>
        <w:spacing w:line="240" w:lineRule="auto"/>
        <w:rPr>
          <w:rFonts w:ascii="Aptos" w:hAnsi="Aptos"/>
        </w:rPr>
      </w:pPr>
      <w:r w:rsidRPr="00F56506">
        <w:rPr>
          <w:rFonts w:ascii="Aptos" w:hAnsi="Aptos"/>
        </w:rPr>
        <w:t>1. Purpose drift</w:t>
      </w:r>
    </w:p>
    <w:p w14:paraId="327A1E99" w14:textId="19195BBD" w:rsidR="00511DAD" w:rsidRPr="00F56506" w:rsidRDefault="00000000" w:rsidP="00272EEC">
      <w:pPr>
        <w:keepLines/>
        <w:spacing w:after="0" w:line="240" w:lineRule="auto"/>
      </w:pPr>
      <w:r w:rsidRPr="00F56506">
        <w:t xml:space="preserve">TIF should remain redevelopment-first. The risk arises when short-term fiscal pressures or project-specific exceptions blur the distinction between targeted redevelopment and </w:t>
      </w:r>
      <w:r w:rsidR="00943266">
        <w:t>other City Hall needs</w:t>
      </w:r>
      <w:r w:rsidRPr="00F56506">
        <w:t>. Reform should clarify a hierarchy of uses and require public justification.</w:t>
      </w:r>
    </w:p>
    <w:p w14:paraId="11F49F30" w14:textId="77777777" w:rsidR="00511DAD" w:rsidRPr="00F56506" w:rsidRDefault="00000000" w:rsidP="00272EEC">
      <w:pPr>
        <w:pStyle w:val="Heading2"/>
        <w:spacing w:line="240" w:lineRule="auto"/>
        <w:rPr>
          <w:rFonts w:ascii="Aptos" w:hAnsi="Aptos"/>
        </w:rPr>
      </w:pPr>
      <w:r w:rsidRPr="00F56506">
        <w:rPr>
          <w:rFonts w:ascii="Aptos" w:hAnsi="Aptos"/>
        </w:rPr>
        <w:t>2. Inconsistent portability</w:t>
      </w:r>
    </w:p>
    <w:p w14:paraId="708BB27A" w14:textId="77777777" w:rsidR="00511DAD" w:rsidRPr="00F56506" w:rsidRDefault="00000000" w:rsidP="00272EEC">
      <w:pPr>
        <w:keepLines/>
        <w:spacing w:after="0" w:line="240" w:lineRule="auto"/>
      </w:pPr>
      <w:r w:rsidRPr="00F56506">
        <w:t>Portability can support coherent redevelopment across connected areas, but it should not operate as a case-by-case exception. Objective tests should cover geographic relationship, redevelopment nexus, source solvency, receiving need, project readiness, and public benefit.</w:t>
      </w:r>
    </w:p>
    <w:p w14:paraId="3A4ADB72" w14:textId="77777777" w:rsidR="00511DAD" w:rsidRPr="00F56506" w:rsidRDefault="00000000" w:rsidP="00272EEC">
      <w:pPr>
        <w:pStyle w:val="Heading2"/>
        <w:spacing w:line="240" w:lineRule="auto"/>
        <w:rPr>
          <w:rFonts w:ascii="Aptos" w:hAnsi="Aptos"/>
        </w:rPr>
      </w:pPr>
      <w:r w:rsidRPr="00F56506">
        <w:rPr>
          <w:rFonts w:ascii="Aptos" w:hAnsi="Aptos"/>
        </w:rPr>
        <w:t>3. Weak maturity discipline</w:t>
      </w:r>
    </w:p>
    <w:p w14:paraId="64D17842" w14:textId="68A7E4CD" w:rsidR="00511DAD" w:rsidRPr="00F56506" w:rsidRDefault="00E74166" w:rsidP="00272EEC">
      <w:pPr>
        <w:keepLines/>
        <w:spacing w:after="0" w:line="240" w:lineRule="auto"/>
      </w:pPr>
      <w:r>
        <w:t>TIF d</w:t>
      </w:r>
      <w:r w:rsidR="00000000" w:rsidRPr="00F56506">
        <w:t>istricts should not continue merely because they can. A modern system should periodically test whether redevelopment need remains, obligations are complete, performance is adequate, and incremental value should begin returning to the tax base.</w:t>
      </w:r>
    </w:p>
    <w:p w14:paraId="52FF5FA1" w14:textId="77777777" w:rsidR="00511DAD" w:rsidRPr="00F56506" w:rsidRDefault="00000000" w:rsidP="00272EEC">
      <w:pPr>
        <w:pStyle w:val="Heading2"/>
        <w:spacing w:line="240" w:lineRule="auto"/>
        <w:rPr>
          <w:rFonts w:ascii="Aptos" w:hAnsi="Aptos"/>
        </w:rPr>
      </w:pPr>
      <w:r w:rsidRPr="00F56506">
        <w:rPr>
          <w:rFonts w:ascii="Aptos" w:hAnsi="Aptos"/>
        </w:rPr>
        <w:t>4. Opacity around balances and obligations</w:t>
      </w:r>
    </w:p>
    <w:p w14:paraId="2A0493A8" w14:textId="77777777" w:rsidR="00511DAD" w:rsidRPr="00F56506" w:rsidRDefault="00000000" w:rsidP="00272EEC">
      <w:pPr>
        <w:keepLines/>
        <w:spacing w:after="0" w:line="240" w:lineRule="auto"/>
      </w:pPr>
      <w:r w:rsidRPr="00F56506">
        <w:t>A reported balance is not the same as spendable cash. The public needs a reconciliation of cash, binding obligations, planned but unexecuted projects, debt commitments, restricted amounts, and genuinely uncommitted resources.</w:t>
      </w:r>
    </w:p>
    <w:p w14:paraId="0CA16AA7" w14:textId="77777777" w:rsidR="00511DAD" w:rsidRPr="00F56506" w:rsidRDefault="00000000" w:rsidP="00272EEC">
      <w:pPr>
        <w:pStyle w:val="Heading2"/>
        <w:spacing w:line="240" w:lineRule="auto"/>
        <w:rPr>
          <w:rFonts w:ascii="Aptos" w:hAnsi="Aptos"/>
        </w:rPr>
      </w:pPr>
      <w:r w:rsidRPr="00F56506">
        <w:rPr>
          <w:rFonts w:ascii="Aptos" w:hAnsi="Aptos"/>
        </w:rPr>
        <w:t>5. Uneven outcome measurement</w:t>
      </w:r>
    </w:p>
    <w:p w14:paraId="27853B3F" w14:textId="77777777" w:rsidR="00511DAD" w:rsidRDefault="00000000" w:rsidP="00272EEC">
      <w:pPr>
        <w:keepLines/>
        <w:spacing w:after="0" w:line="240" w:lineRule="auto"/>
      </w:pPr>
      <w:r w:rsidRPr="00F56506">
        <w:t>The public needs outcomes, not only inputs: tax-base growth, completed infrastructure, occupied space, housing delivered, jobs, and private capital leveraged.</w:t>
      </w:r>
    </w:p>
    <w:p w14:paraId="0B2633A8" w14:textId="77777777" w:rsidR="00C67C17" w:rsidRPr="00F56506" w:rsidRDefault="00C67C17" w:rsidP="00272EEC">
      <w:pPr>
        <w:keepLines/>
        <w:spacing w:after="0" w:line="240" w:lineRule="auto"/>
      </w:pPr>
    </w:p>
    <w:tbl>
      <w:tblPr>
        <w:tblW w:w="0" w:type="auto"/>
        <w:jc w:val="center"/>
        <w:tblLook w:val="04A0" w:firstRow="1" w:lastRow="0" w:firstColumn="1" w:lastColumn="0" w:noHBand="0" w:noVBand="1"/>
      </w:tblPr>
      <w:tblGrid>
        <w:gridCol w:w="10199"/>
      </w:tblGrid>
      <w:tr w:rsidR="00511DAD" w:rsidRPr="00F56506" w14:paraId="59AF8DE3" w14:textId="77777777">
        <w:trPr>
          <w:jc w:val="center"/>
        </w:trPr>
        <w:tc>
          <w:tcPr>
            <w:tcW w:w="10224" w:type="dxa"/>
            <w:tcBorders>
              <w:left w:val="single" w:sz="20" w:space="0" w:color="246A8A"/>
            </w:tcBorders>
            <w:shd w:val="clear" w:color="auto" w:fill="EAF1F5"/>
            <w:tcMar>
              <w:top w:w="190" w:type="dxa"/>
              <w:left w:w="190" w:type="dxa"/>
              <w:bottom w:w="190" w:type="dxa"/>
              <w:right w:w="190" w:type="dxa"/>
            </w:tcMar>
          </w:tcPr>
          <w:p w14:paraId="3D3EAAAA" w14:textId="77777777" w:rsidR="00511DAD" w:rsidRPr="00F56506" w:rsidRDefault="00000000" w:rsidP="00272EEC">
            <w:pPr>
              <w:spacing w:after="0" w:line="240" w:lineRule="auto"/>
            </w:pPr>
            <w:r w:rsidRPr="00F56506">
              <w:rPr>
                <w:b/>
                <w:color w:val="246A8A"/>
                <w:sz w:val="20"/>
              </w:rPr>
              <w:t>WHAT REFORM MUST PREVENT</w:t>
            </w:r>
          </w:p>
          <w:p w14:paraId="2826203D" w14:textId="77777777" w:rsidR="00511DAD" w:rsidRPr="00F56506" w:rsidRDefault="00000000" w:rsidP="00272EEC">
            <w:pPr>
              <w:spacing w:after="0" w:line="240" w:lineRule="auto"/>
            </w:pPr>
            <w:r w:rsidRPr="00F56506">
              <w:t>The package must not replace discretion with a rigid formula that ignores neighborhood conditions. It must replace unexplained discretion with structured judgment, published criteria, and reviewable evidence.</w:t>
            </w:r>
          </w:p>
        </w:tc>
      </w:tr>
    </w:tbl>
    <w:p w14:paraId="3EE3337A" w14:textId="77777777" w:rsidR="00511DAD" w:rsidRPr="00F56506" w:rsidRDefault="00511DAD" w:rsidP="00272EEC">
      <w:pPr>
        <w:spacing w:after="0" w:line="240" w:lineRule="auto"/>
      </w:pPr>
    </w:p>
    <w:p w14:paraId="2D3AAC62" w14:textId="77777777" w:rsidR="00511DAD" w:rsidRPr="00F56506" w:rsidRDefault="00000000" w:rsidP="00272EEC">
      <w:pPr>
        <w:spacing w:after="0" w:line="240" w:lineRule="auto"/>
      </w:pPr>
      <w:r w:rsidRPr="00F56506">
        <w:br w:type="page"/>
      </w:r>
    </w:p>
    <w:p w14:paraId="3EF3F601" w14:textId="77777777" w:rsidR="00511DAD" w:rsidRPr="00F56506" w:rsidRDefault="00000000" w:rsidP="00272EEC">
      <w:pPr>
        <w:spacing w:after="0" w:line="240" w:lineRule="auto"/>
      </w:pPr>
      <w:r w:rsidRPr="00F56506">
        <w:rPr>
          <w:b/>
          <w:color w:val="2A9D8F"/>
          <w:sz w:val="18"/>
        </w:rPr>
        <w:lastRenderedPageBreak/>
        <w:t>SECTION 06</w:t>
      </w:r>
    </w:p>
    <w:p w14:paraId="30316C5D" w14:textId="75016ECF" w:rsidR="00511DAD" w:rsidRPr="00F56506" w:rsidRDefault="00000000" w:rsidP="00272EEC">
      <w:pPr>
        <w:pStyle w:val="Heading1"/>
        <w:pBdr>
          <w:bottom w:val="single" w:sz="14" w:space="6" w:color="18324A"/>
        </w:pBdr>
        <w:spacing w:line="240" w:lineRule="auto"/>
        <w:rPr>
          <w:rFonts w:ascii="Aptos" w:hAnsi="Aptos"/>
        </w:rPr>
      </w:pPr>
      <w:r w:rsidRPr="00F56506">
        <w:rPr>
          <w:rFonts w:ascii="Aptos" w:hAnsi="Aptos"/>
        </w:rPr>
        <w:t>The Chicago TIF Governance Lifecycle</w:t>
      </w:r>
      <w:r w:rsidR="00E5558A">
        <w:rPr>
          <w:rFonts w:ascii="Aptos" w:hAnsi="Aptos"/>
        </w:rPr>
        <w:t xml:space="preserve"> Model</w:t>
      </w:r>
    </w:p>
    <w:p w14:paraId="73170A1E" w14:textId="53986CC0" w:rsidR="00511DAD" w:rsidRDefault="00511DAD" w:rsidP="00272EEC">
      <w:pPr>
        <w:spacing w:after="0" w:line="240" w:lineRule="auto"/>
        <w:rPr>
          <w:color w:val="5D6872"/>
          <w:sz w:val="22"/>
        </w:rPr>
      </w:pPr>
    </w:p>
    <w:p w14:paraId="6827C04A" w14:textId="77777777" w:rsidR="00C67C17" w:rsidRPr="00F56506" w:rsidRDefault="00C67C17" w:rsidP="00272EEC">
      <w:pPr>
        <w:spacing w:after="0" w:line="240" w:lineRule="auto"/>
      </w:pPr>
    </w:p>
    <w:tbl>
      <w:tblPr>
        <w:tblStyle w:val="TableGrid"/>
        <w:tblW w:w="0" w:type="auto"/>
        <w:jc w:val="center"/>
        <w:tblLook w:val="04A0" w:firstRow="1" w:lastRow="0" w:firstColumn="1" w:lastColumn="0" w:noHBand="0" w:noVBand="1"/>
      </w:tblPr>
      <w:tblGrid>
        <w:gridCol w:w="3404"/>
        <w:gridCol w:w="3405"/>
        <w:gridCol w:w="3405"/>
      </w:tblGrid>
      <w:tr w:rsidR="00511DAD" w:rsidRPr="00F56506" w14:paraId="6B15C076" w14:textId="77777777">
        <w:trPr>
          <w:jc w:val="center"/>
        </w:trPr>
        <w:tc>
          <w:tcPr>
            <w:tcW w:w="3408" w:type="dxa"/>
            <w:shd w:val="clear" w:color="auto" w:fill="18324A"/>
            <w:tcMar>
              <w:top w:w="130" w:type="dxa"/>
              <w:left w:w="130" w:type="dxa"/>
              <w:bottom w:w="130" w:type="dxa"/>
              <w:right w:w="130" w:type="dxa"/>
            </w:tcMar>
          </w:tcPr>
          <w:p w14:paraId="55EC1509" w14:textId="77777777" w:rsidR="00511DAD" w:rsidRPr="00F56506" w:rsidRDefault="00000000" w:rsidP="00272EEC">
            <w:pPr>
              <w:spacing w:after="0" w:line="240" w:lineRule="auto"/>
            </w:pPr>
            <w:r w:rsidRPr="00F56506">
              <w:rPr>
                <w:b/>
                <w:color w:val="FFFFFF"/>
                <w:sz w:val="18"/>
              </w:rPr>
              <w:t>Stage</w:t>
            </w:r>
          </w:p>
        </w:tc>
        <w:tc>
          <w:tcPr>
            <w:tcW w:w="3408" w:type="dxa"/>
            <w:shd w:val="clear" w:color="auto" w:fill="18324A"/>
            <w:tcMar>
              <w:top w:w="130" w:type="dxa"/>
              <w:left w:w="130" w:type="dxa"/>
              <w:bottom w:w="130" w:type="dxa"/>
              <w:right w:w="130" w:type="dxa"/>
            </w:tcMar>
          </w:tcPr>
          <w:p w14:paraId="5CEFE8F0" w14:textId="77777777" w:rsidR="00511DAD" w:rsidRPr="00F56506" w:rsidRDefault="00000000" w:rsidP="00272EEC">
            <w:pPr>
              <w:spacing w:after="0" w:line="240" w:lineRule="auto"/>
            </w:pPr>
            <w:r w:rsidRPr="00F56506">
              <w:rPr>
                <w:b/>
                <w:color w:val="FFFFFF"/>
                <w:sz w:val="18"/>
              </w:rPr>
              <w:t>Decision</w:t>
            </w:r>
          </w:p>
        </w:tc>
        <w:tc>
          <w:tcPr>
            <w:tcW w:w="3408" w:type="dxa"/>
            <w:shd w:val="clear" w:color="auto" w:fill="18324A"/>
            <w:tcMar>
              <w:top w:w="130" w:type="dxa"/>
              <w:left w:w="130" w:type="dxa"/>
              <w:bottom w:w="130" w:type="dxa"/>
              <w:right w:w="130" w:type="dxa"/>
            </w:tcMar>
          </w:tcPr>
          <w:p w14:paraId="7AC823E3" w14:textId="77777777" w:rsidR="00511DAD" w:rsidRPr="00F56506" w:rsidRDefault="00000000" w:rsidP="00272EEC">
            <w:pPr>
              <w:spacing w:after="0" w:line="240" w:lineRule="auto"/>
            </w:pPr>
            <w:r w:rsidRPr="00F56506">
              <w:rPr>
                <w:b/>
                <w:color w:val="FFFFFF"/>
                <w:sz w:val="18"/>
              </w:rPr>
              <w:t>Required evidence</w:t>
            </w:r>
          </w:p>
        </w:tc>
      </w:tr>
      <w:tr w:rsidR="00511DAD" w:rsidRPr="00F56506" w14:paraId="383CE403" w14:textId="77777777">
        <w:trPr>
          <w:jc w:val="center"/>
        </w:trPr>
        <w:tc>
          <w:tcPr>
            <w:tcW w:w="3408" w:type="dxa"/>
            <w:shd w:val="clear" w:color="auto" w:fill="FFFFFF"/>
            <w:tcMar>
              <w:top w:w="130" w:type="dxa"/>
              <w:left w:w="130" w:type="dxa"/>
              <w:bottom w:w="130" w:type="dxa"/>
              <w:right w:w="130" w:type="dxa"/>
            </w:tcMar>
          </w:tcPr>
          <w:p w14:paraId="3C855897" w14:textId="77777777" w:rsidR="00511DAD" w:rsidRPr="00F56506" w:rsidRDefault="00000000" w:rsidP="00272EEC">
            <w:pPr>
              <w:spacing w:after="0" w:line="240" w:lineRule="auto"/>
            </w:pPr>
            <w:r w:rsidRPr="00F56506">
              <w:rPr>
                <w:sz w:val="17"/>
              </w:rPr>
              <w:t>1</w:t>
            </w:r>
          </w:p>
        </w:tc>
        <w:tc>
          <w:tcPr>
            <w:tcW w:w="3408" w:type="dxa"/>
            <w:shd w:val="clear" w:color="auto" w:fill="FFFFFF"/>
            <w:tcMar>
              <w:top w:w="130" w:type="dxa"/>
              <w:left w:w="130" w:type="dxa"/>
              <w:bottom w:w="130" w:type="dxa"/>
              <w:right w:w="130" w:type="dxa"/>
            </w:tcMar>
          </w:tcPr>
          <w:p w14:paraId="62A47E15" w14:textId="77777777" w:rsidR="00511DAD" w:rsidRPr="00F56506" w:rsidRDefault="00000000" w:rsidP="00272EEC">
            <w:pPr>
              <w:spacing w:after="0" w:line="240" w:lineRule="auto"/>
            </w:pPr>
            <w:r w:rsidRPr="00F56506">
              <w:rPr>
                <w:sz w:val="17"/>
              </w:rPr>
              <w:t>Need Test</w:t>
            </w:r>
          </w:p>
        </w:tc>
        <w:tc>
          <w:tcPr>
            <w:tcW w:w="3408" w:type="dxa"/>
            <w:shd w:val="clear" w:color="auto" w:fill="FFFFFF"/>
            <w:tcMar>
              <w:top w:w="130" w:type="dxa"/>
              <w:left w:w="130" w:type="dxa"/>
              <w:bottom w:w="130" w:type="dxa"/>
              <w:right w:w="130" w:type="dxa"/>
            </w:tcMar>
          </w:tcPr>
          <w:p w14:paraId="5B85D4AD" w14:textId="77777777" w:rsidR="00511DAD" w:rsidRPr="00F56506" w:rsidRDefault="00000000" w:rsidP="00272EEC">
            <w:pPr>
              <w:spacing w:after="0" w:line="240" w:lineRule="auto"/>
            </w:pPr>
            <w:r w:rsidRPr="00F56506">
              <w:rPr>
                <w:sz w:val="17"/>
              </w:rPr>
              <w:t>Document redevelopment need and why TIF is necessary.</w:t>
            </w:r>
          </w:p>
        </w:tc>
      </w:tr>
      <w:tr w:rsidR="00511DAD" w:rsidRPr="00F56506" w14:paraId="6DDEF31A" w14:textId="77777777">
        <w:trPr>
          <w:jc w:val="center"/>
        </w:trPr>
        <w:tc>
          <w:tcPr>
            <w:tcW w:w="3408" w:type="dxa"/>
            <w:shd w:val="clear" w:color="auto" w:fill="F5F8FA"/>
            <w:tcMar>
              <w:top w:w="130" w:type="dxa"/>
              <w:left w:w="130" w:type="dxa"/>
              <w:bottom w:w="130" w:type="dxa"/>
              <w:right w:w="130" w:type="dxa"/>
            </w:tcMar>
          </w:tcPr>
          <w:p w14:paraId="130427E6" w14:textId="77777777" w:rsidR="00511DAD" w:rsidRPr="00F56506" w:rsidRDefault="00000000" w:rsidP="00272EEC">
            <w:pPr>
              <w:spacing w:after="0" w:line="240" w:lineRule="auto"/>
            </w:pPr>
            <w:r w:rsidRPr="00F56506">
              <w:rPr>
                <w:sz w:val="17"/>
              </w:rPr>
              <w:t>2</w:t>
            </w:r>
          </w:p>
        </w:tc>
        <w:tc>
          <w:tcPr>
            <w:tcW w:w="3408" w:type="dxa"/>
            <w:shd w:val="clear" w:color="auto" w:fill="F5F8FA"/>
            <w:tcMar>
              <w:top w:w="130" w:type="dxa"/>
              <w:left w:w="130" w:type="dxa"/>
              <w:bottom w:w="130" w:type="dxa"/>
              <w:right w:w="130" w:type="dxa"/>
            </w:tcMar>
          </w:tcPr>
          <w:p w14:paraId="217B701C" w14:textId="77777777" w:rsidR="00511DAD" w:rsidRPr="00F56506" w:rsidRDefault="00000000" w:rsidP="00272EEC">
            <w:pPr>
              <w:spacing w:after="0" w:line="240" w:lineRule="auto"/>
            </w:pPr>
            <w:r w:rsidRPr="00F56506">
              <w:rPr>
                <w:sz w:val="17"/>
              </w:rPr>
              <w:t>Designation</w:t>
            </w:r>
          </w:p>
        </w:tc>
        <w:tc>
          <w:tcPr>
            <w:tcW w:w="3408" w:type="dxa"/>
            <w:shd w:val="clear" w:color="auto" w:fill="F5F8FA"/>
            <w:tcMar>
              <w:top w:w="130" w:type="dxa"/>
              <w:left w:w="130" w:type="dxa"/>
              <w:bottom w:w="130" w:type="dxa"/>
              <w:right w:w="130" w:type="dxa"/>
            </w:tcMar>
          </w:tcPr>
          <w:p w14:paraId="17889593" w14:textId="77777777" w:rsidR="00511DAD" w:rsidRPr="00F56506" w:rsidRDefault="00000000" w:rsidP="00272EEC">
            <w:pPr>
              <w:spacing w:after="0" w:line="240" w:lineRule="auto"/>
            </w:pPr>
            <w:r w:rsidRPr="00F56506">
              <w:rPr>
                <w:sz w:val="17"/>
              </w:rPr>
              <w:t>Set geography, base year, goals, eligible uses, and outcomes.</w:t>
            </w:r>
          </w:p>
        </w:tc>
      </w:tr>
      <w:tr w:rsidR="00511DAD" w:rsidRPr="00F56506" w14:paraId="092224C8" w14:textId="77777777">
        <w:trPr>
          <w:jc w:val="center"/>
        </w:trPr>
        <w:tc>
          <w:tcPr>
            <w:tcW w:w="3408" w:type="dxa"/>
            <w:shd w:val="clear" w:color="auto" w:fill="FFFFFF"/>
            <w:tcMar>
              <w:top w:w="130" w:type="dxa"/>
              <w:left w:w="130" w:type="dxa"/>
              <w:bottom w:w="130" w:type="dxa"/>
              <w:right w:w="130" w:type="dxa"/>
            </w:tcMar>
          </w:tcPr>
          <w:p w14:paraId="1D213052" w14:textId="77777777" w:rsidR="00511DAD" w:rsidRPr="00F56506" w:rsidRDefault="00000000" w:rsidP="00272EEC">
            <w:pPr>
              <w:spacing w:after="0" w:line="240" w:lineRule="auto"/>
            </w:pPr>
            <w:r w:rsidRPr="00F56506">
              <w:rPr>
                <w:sz w:val="17"/>
              </w:rPr>
              <w:t>3</w:t>
            </w:r>
          </w:p>
        </w:tc>
        <w:tc>
          <w:tcPr>
            <w:tcW w:w="3408" w:type="dxa"/>
            <w:shd w:val="clear" w:color="auto" w:fill="FFFFFF"/>
            <w:tcMar>
              <w:top w:w="130" w:type="dxa"/>
              <w:left w:w="130" w:type="dxa"/>
              <w:bottom w:w="130" w:type="dxa"/>
              <w:right w:w="130" w:type="dxa"/>
            </w:tcMar>
          </w:tcPr>
          <w:p w14:paraId="1D4787A4" w14:textId="77777777" w:rsidR="00511DAD" w:rsidRPr="00F56506" w:rsidRDefault="00000000" w:rsidP="00272EEC">
            <w:pPr>
              <w:spacing w:after="0" w:line="240" w:lineRule="auto"/>
            </w:pPr>
            <w:r w:rsidRPr="00F56506">
              <w:rPr>
                <w:sz w:val="17"/>
              </w:rPr>
              <w:t>Capital Plan</w:t>
            </w:r>
          </w:p>
        </w:tc>
        <w:tc>
          <w:tcPr>
            <w:tcW w:w="3408" w:type="dxa"/>
            <w:shd w:val="clear" w:color="auto" w:fill="FFFFFF"/>
            <w:tcMar>
              <w:top w:w="130" w:type="dxa"/>
              <w:left w:w="130" w:type="dxa"/>
              <w:bottom w:w="130" w:type="dxa"/>
              <w:right w:w="130" w:type="dxa"/>
            </w:tcMar>
          </w:tcPr>
          <w:p w14:paraId="5C2B6DDA" w14:textId="77777777" w:rsidR="00511DAD" w:rsidRPr="00F56506" w:rsidRDefault="00000000" w:rsidP="00272EEC">
            <w:pPr>
              <w:spacing w:after="0" w:line="240" w:lineRule="auto"/>
            </w:pPr>
            <w:r w:rsidRPr="00F56506">
              <w:rPr>
                <w:sz w:val="17"/>
              </w:rPr>
              <w:t>Publish a multiyear project and obligation schedule.</w:t>
            </w:r>
          </w:p>
        </w:tc>
      </w:tr>
      <w:tr w:rsidR="00511DAD" w:rsidRPr="00F56506" w14:paraId="41730A20" w14:textId="77777777">
        <w:trPr>
          <w:jc w:val="center"/>
        </w:trPr>
        <w:tc>
          <w:tcPr>
            <w:tcW w:w="3408" w:type="dxa"/>
            <w:shd w:val="clear" w:color="auto" w:fill="F5F8FA"/>
            <w:tcMar>
              <w:top w:w="130" w:type="dxa"/>
              <w:left w:w="130" w:type="dxa"/>
              <w:bottom w:w="130" w:type="dxa"/>
              <w:right w:w="130" w:type="dxa"/>
            </w:tcMar>
          </w:tcPr>
          <w:p w14:paraId="7DE9C54C" w14:textId="77777777" w:rsidR="00511DAD" w:rsidRPr="00F56506" w:rsidRDefault="00000000" w:rsidP="00272EEC">
            <w:pPr>
              <w:spacing w:after="0" w:line="240" w:lineRule="auto"/>
            </w:pPr>
            <w:r w:rsidRPr="00F56506">
              <w:rPr>
                <w:sz w:val="17"/>
              </w:rPr>
              <w:t>4</w:t>
            </w:r>
          </w:p>
        </w:tc>
        <w:tc>
          <w:tcPr>
            <w:tcW w:w="3408" w:type="dxa"/>
            <w:shd w:val="clear" w:color="auto" w:fill="F5F8FA"/>
            <w:tcMar>
              <w:top w:w="130" w:type="dxa"/>
              <w:left w:w="130" w:type="dxa"/>
              <w:bottom w:w="130" w:type="dxa"/>
              <w:right w:w="130" w:type="dxa"/>
            </w:tcMar>
          </w:tcPr>
          <w:p w14:paraId="0C43011A" w14:textId="77777777" w:rsidR="00511DAD" w:rsidRPr="00F56506" w:rsidRDefault="00000000" w:rsidP="00272EEC">
            <w:pPr>
              <w:spacing w:after="0" w:line="240" w:lineRule="auto"/>
            </w:pPr>
            <w:r w:rsidRPr="00F56506">
              <w:rPr>
                <w:sz w:val="17"/>
              </w:rPr>
              <w:t>Annual Review</w:t>
            </w:r>
          </w:p>
        </w:tc>
        <w:tc>
          <w:tcPr>
            <w:tcW w:w="3408" w:type="dxa"/>
            <w:shd w:val="clear" w:color="auto" w:fill="F5F8FA"/>
            <w:tcMar>
              <w:top w:w="130" w:type="dxa"/>
              <w:left w:w="130" w:type="dxa"/>
              <w:bottom w:w="130" w:type="dxa"/>
              <w:right w:w="130" w:type="dxa"/>
            </w:tcMar>
          </w:tcPr>
          <w:p w14:paraId="018E0C1B" w14:textId="77777777" w:rsidR="00511DAD" w:rsidRPr="00F56506" w:rsidRDefault="00000000" w:rsidP="00272EEC">
            <w:pPr>
              <w:spacing w:after="0" w:line="240" w:lineRule="auto"/>
            </w:pPr>
            <w:r w:rsidRPr="00F56506">
              <w:rPr>
                <w:sz w:val="17"/>
              </w:rPr>
              <w:t>Report finances, delivery, outcomes, and data quality.</w:t>
            </w:r>
          </w:p>
        </w:tc>
      </w:tr>
      <w:tr w:rsidR="00511DAD" w:rsidRPr="00F56506" w14:paraId="3F1F75F0" w14:textId="77777777">
        <w:trPr>
          <w:jc w:val="center"/>
        </w:trPr>
        <w:tc>
          <w:tcPr>
            <w:tcW w:w="3408" w:type="dxa"/>
            <w:shd w:val="clear" w:color="auto" w:fill="FFFFFF"/>
            <w:tcMar>
              <w:top w:w="130" w:type="dxa"/>
              <w:left w:w="130" w:type="dxa"/>
              <w:bottom w:w="130" w:type="dxa"/>
              <w:right w:w="130" w:type="dxa"/>
            </w:tcMar>
          </w:tcPr>
          <w:p w14:paraId="75584ECE" w14:textId="77777777" w:rsidR="00511DAD" w:rsidRPr="00F56506" w:rsidRDefault="00000000" w:rsidP="00272EEC">
            <w:pPr>
              <w:spacing w:after="0" w:line="240" w:lineRule="auto"/>
            </w:pPr>
            <w:r w:rsidRPr="00F56506">
              <w:rPr>
                <w:sz w:val="17"/>
              </w:rPr>
              <w:t>5</w:t>
            </w:r>
          </w:p>
        </w:tc>
        <w:tc>
          <w:tcPr>
            <w:tcW w:w="3408" w:type="dxa"/>
            <w:shd w:val="clear" w:color="auto" w:fill="FFFFFF"/>
            <w:tcMar>
              <w:top w:w="130" w:type="dxa"/>
              <w:left w:w="130" w:type="dxa"/>
              <w:bottom w:w="130" w:type="dxa"/>
              <w:right w:w="130" w:type="dxa"/>
            </w:tcMar>
          </w:tcPr>
          <w:p w14:paraId="57D430B1" w14:textId="77777777" w:rsidR="00511DAD" w:rsidRPr="00F56506" w:rsidRDefault="00000000" w:rsidP="00272EEC">
            <w:pPr>
              <w:spacing w:after="0" w:line="240" w:lineRule="auto"/>
            </w:pPr>
            <w:r w:rsidRPr="00F56506">
              <w:rPr>
                <w:sz w:val="17"/>
              </w:rPr>
              <w:t>Midpoint Audit</w:t>
            </w:r>
          </w:p>
        </w:tc>
        <w:tc>
          <w:tcPr>
            <w:tcW w:w="3408" w:type="dxa"/>
            <w:shd w:val="clear" w:color="auto" w:fill="FFFFFF"/>
            <w:tcMar>
              <w:top w:w="130" w:type="dxa"/>
              <w:left w:w="130" w:type="dxa"/>
              <w:bottom w:w="130" w:type="dxa"/>
              <w:right w:w="130" w:type="dxa"/>
            </w:tcMar>
          </w:tcPr>
          <w:p w14:paraId="025CD9E2" w14:textId="77777777" w:rsidR="00511DAD" w:rsidRPr="00F56506" w:rsidRDefault="00000000" w:rsidP="00272EEC">
            <w:pPr>
              <w:spacing w:after="0" w:line="240" w:lineRule="auto"/>
            </w:pPr>
            <w:r w:rsidRPr="00F56506">
              <w:rPr>
                <w:sz w:val="17"/>
              </w:rPr>
              <w:t>Reassess need, performance, portability, and remaining term.</w:t>
            </w:r>
          </w:p>
        </w:tc>
      </w:tr>
      <w:tr w:rsidR="00511DAD" w:rsidRPr="00F56506" w14:paraId="54FA0C9A" w14:textId="77777777">
        <w:trPr>
          <w:jc w:val="center"/>
        </w:trPr>
        <w:tc>
          <w:tcPr>
            <w:tcW w:w="3408" w:type="dxa"/>
            <w:shd w:val="clear" w:color="auto" w:fill="F5F8FA"/>
            <w:tcMar>
              <w:top w:w="130" w:type="dxa"/>
              <w:left w:w="130" w:type="dxa"/>
              <w:bottom w:w="130" w:type="dxa"/>
              <w:right w:w="130" w:type="dxa"/>
            </w:tcMar>
          </w:tcPr>
          <w:p w14:paraId="34FC52EE" w14:textId="77777777" w:rsidR="00511DAD" w:rsidRPr="00F56506" w:rsidRDefault="00000000" w:rsidP="00272EEC">
            <w:pPr>
              <w:spacing w:after="0" w:line="240" w:lineRule="auto"/>
            </w:pPr>
            <w:r w:rsidRPr="00F56506">
              <w:rPr>
                <w:sz w:val="17"/>
              </w:rPr>
              <w:t>6</w:t>
            </w:r>
          </w:p>
        </w:tc>
        <w:tc>
          <w:tcPr>
            <w:tcW w:w="3408" w:type="dxa"/>
            <w:shd w:val="clear" w:color="auto" w:fill="F5F8FA"/>
            <w:tcMar>
              <w:top w:w="130" w:type="dxa"/>
              <w:left w:w="130" w:type="dxa"/>
              <w:bottom w:w="130" w:type="dxa"/>
              <w:right w:w="130" w:type="dxa"/>
            </w:tcMar>
          </w:tcPr>
          <w:p w14:paraId="4F063DAA" w14:textId="77777777" w:rsidR="00511DAD" w:rsidRPr="00F56506" w:rsidRDefault="00000000" w:rsidP="00272EEC">
            <w:pPr>
              <w:spacing w:after="0" w:line="240" w:lineRule="auto"/>
            </w:pPr>
            <w:r w:rsidRPr="00F56506">
              <w:rPr>
                <w:sz w:val="17"/>
              </w:rPr>
              <w:t>Maturity Decision</w:t>
            </w:r>
          </w:p>
        </w:tc>
        <w:tc>
          <w:tcPr>
            <w:tcW w:w="3408" w:type="dxa"/>
            <w:shd w:val="clear" w:color="auto" w:fill="F5F8FA"/>
            <w:tcMar>
              <w:top w:w="130" w:type="dxa"/>
              <w:left w:w="130" w:type="dxa"/>
              <w:bottom w:w="130" w:type="dxa"/>
              <w:right w:w="130" w:type="dxa"/>
            </w:tcMar>
          </w:tcPr>
          <w:p w14:paraId="3D788E5B" w14:textId="77777777" w:rsidR="00511DAD" w:rsidRPr="00F56506" w:rsidRDefault="00000000" w:rsidP="00272EEC">
            <w:pPr>
              <w:spacing w:after="0" w:line="240" w:lineRule="auto"/>
            </w:pPr>
            <w:r w:rsidRPr="00F56506">
              <w:rPr>
                <w:sz w:val="17"/>
              </w:rPr>
              <w:t>Classify as Growth, Stabilization, or Close-Out.</w:t>
            </w:r>
          </w:p>
        </w:tc>
      </w:tr>
      <w:tr w:rsidR="00511DAD" w:rsidRPr="00F56506" w14:paraId="51119B7A" w14:textId="77777777">
        <w:trPr>
          <w:jc w:val="center"/>
        </w:trPr>
        <w:tc>
          <w:tcPr>
            <w:tcW w:w="3408" w:type="dxa"/>
            <w:shd w:val="clear" w:color="auto" w:fill="FFFFFF"/>
            <w:tcMar>
              <w:top w:w="130" w:type="dxa"/>
              <w:left w:w="130" w:type="dxa"/>
              <w:bottom w:w="130" w:type="dxa"/>
              <w:right w:w="130" w:type="dxa"/>
            </w:tcMar>
          </w:tcPr>
          <w:p w14:paraId="17C25E18" w14:textId="77777777" w:rsidR="00511DAD" w:rsidRPr="00F56506" w:rsidRDefault="00000000" w:rsidP="00272EEC">
            <w:pPr>
              <w:spacing w:after="0" w:line="240" w:lineRule="auto"/>
            </w:pPr>
            <w:r w:rsidRPr="00F56506">
              <w:rPr>
                <w:sz w:val="17"/>
              </w:rPr>
              <w:t>7</w:t>
            </w:r>
          </w:p>
        </w:tc>
        <w:tc>
          <w:tcPr>
            <w:tcW w:w="3408" w:type="dxa"/>
            <w:shd w:val="clear" w:color="auto" w:fill="FFFFFF"/>
            <w:tcMar>
              <w:top w:w="130" w:type="dxa"/>
              <w:left w:w="130" w:type="dxa"/>
              <w:bottom w:w="130" w:type="dxa"/>
              <w:right w:w="130" w:type="dxa"/>
            </w:tcMar>
          </w:tcPr>
          <w:p w14:paraId="16A072A6" w14:textId="77777777" w:rsidR="00511DAD" w:rsidRPr="00F56506" w:rsidRDefault="00000000" w:rsidP="00272EEC">
            <w:pPr>
              <w:spacing w:after="0" w:line="240" w:lineRule="auto"/>
            </w:pPr>
            <w:r w:rsidRPr="00F56506">
              <w:rPr>
                <w:sz w:val="17"/>
              </w:rPr>
              <w:t>Close-Out</w:t>
            </w:r>
          </w:p>
        </w:tc>
        <w:tc>
          <w:tcPr>
            <w:tcW w:w="3408" w:type="dxa"/>
            <w:shd w:val="clear" w:color="auto" w:fill="FFFFFF"/>
            <w:tcMar>
              <w:top w:w="130" w:type="dxa"/>
              <w:left w:w="130" w:type="dxa"/>
              <w:bottom w:w="130" w:type="dxa"/>
              <w:right w:w="130" w:type="dxa"/>
            </w:tcMar>
          </w:tcPr>
          <w:p w14:paraId="245AF910" w14:textId="77777777" w:rsidR="00511DAD" w:rsidRPr="00F56506" w:rsidRDefault="00000000" w:rsidP="00272EEC">
            <w:pPr>
              <w:spacing w:after="0" w:line="240" w:lineRule="auto"/>
            </w:pPr>
            <w:r w:rsidRPr="00F56506">
              <w:rPr>
                <w:sz w:val="17"/>
              </w:rPr>
              <w:t>Complete obligations, declare surplus, and return value.</w:t>
            </w:r>
          </w:p>
        </w:tc>
      </w:tr>
    </w:tbl>
    <w:p w14:paraId="2B8667CB" w14:textId="77777777" w:rsidR="00511DAD" w:rsidRPr="00F56506" w:rsidRDefault="00511DAD" w:rsidP="00272EEC">
      <w:pPr>
        <w:spacing w:after="0" w:line="240" w:lineRule="auto"/>
      </w:pPr>
    </w:p>
    <w:tbl>
      <w:tblPr>
        <w:tblW w:w="0" w:type="auto"/>
        <w:jc w:val="center"/>
        <w:tblLook w:val="04A0" w:firstRow="1" w:lastRow="0" w:firstColumn="1" w:lastColumn="0" w:noHBand="0" w:noVBand="1"/>
      </w:tblPr>
      <w:tblGrid>
        <w:gridCol w:w="10199"/>
      </w:tblGrid>
      <w:tr w:rsidR="00511DAD" w:rsidRPr="00F56506" w14:paraId="4CBD500E" w14:textId="77777777">
        <w:trPr>
          <w:jc w:val="center"/>
        </w:trPr>
        <w:tc>
          <w:tcPr>
            <w:tcW w:w="10224" w:type="dxa"/>
            <w:tcBorders>
              <w:left w:val="single" w:sz="20" w:space="0" w:color="246A8A"/>
            </w:tcBorders>
            <w:shd w:val="clear" w:color="auto" w:fill="EAF1F5"/>
            <w:tcMar>
              <w:top w:w="190" w:type="dxa"/>
              <w:left w:w="190" w:type="dxa"/>
              <w:bottom w:w="190" w:type="dxa"/>
              <w:right w:w="190" w:type="dxa"/>
            </w:tcMar>
          </w:tcPr>
          <w:p w14:paraId="5E48B3BB" w14:textId="77777777" w:rsidR="00511DAD" w:rsidRPr="00F56506" w:rsidRDefault="00000000" w:rsidP="00272EEC">
            <w:pPr>
              <w:spacing w:after="0" w:line="240" w:lineRule="auto"/>
            </w:pPr>
            <w:r w:rsidRPr="00F56506">
              <w:rPr>
                <w:b/>
                <w:color w:val="246A8A"/>
                <w:sz w:val="20"/>
              </w:rPr>
              <w:t>IMPLEMENTATION TRIGGER POINTS</w:t>
            </w:r>
          </w:p>
          <w:p w14:paraId="2623F6BC" w14:textId="77777777" w:rsidR="00511DAD" w:rsidRPr="00F56506" w:rsidRDefault="00000000" w:rsidP="00272EEC">
            <w:pPr>
              <w:spacing w:after="0" w:line="240" w:lineRule="auto"/>
            </w:pPr>
            <w:r w:rsidRPr="00F56506">
              <w:t>Designation, major amendment, portability, extension, surplus declaration, and closure should each trigger a standardized public memorandum explaining the evidence, rule, fiscal effect, and expected outcome.</w:t>
            </w:r>
          </w:p>
        </w:tc>
      </w:tr>
    </w:tbl>
    <w:p w14:paraId="15B5070D" w14:textId="77777777" w:rsidR="00511DAD" w:rsidRPr="00F56506" w:rsidRDefault="00511DAD" w:rsidP="00272EEC">
      <w:pPr>
        <w:spacing w:after="0" w:line="240" w:lineRule="auto"/>
      </w:pPr>
    </w:p>
    <w:p w14:paraId="5CDC28A8" w14:textId="642A9DEF" w:rsidR="00511DAD" w:rsidRPr="00F56506" w:rsidRDefault="00000000" w:rsidP="00272EEC">
      <w:pPr>
        <w:keepLines/>
        <w:spacing w:after="0" w:line="240" w:lineRule="auto"/>
      </w:pPr>
      <w:r w:rsidRPr="00F56506">
        <w:t xml:space="preserve">The lifecycle </w:t>
      </w:r>
      <w:r w:rsidR="00E5558A">
        <w:t xml:space="preserve">model </w:t>
      </w:r>
      <w:r w:rsidRPr="00F56506">
        <w:t>makes TIF governance predictable. Developers gain clearer expectations. Neighborhoods gain visibility. Taxing districts gain better information. Elected officials retain judgment, but decisions occur inside a stable operating framework.</w:t>
      </w:r>
    </w:p>
    <w:p w14:paraId="051091F2" w14:textId="77777777" w:rsidR="00511DAD" w:rsidRPr="00F56506" w:rsidRDefault="00000000" w:rsidP="00272EEC">
      <w:pPr>
        <w:spacing w:after="0" w:line="240" w:lineRule="auto"/>
      </w:pPr>
      <w:r w:rsidRPr="00F56506">
        <w:br w:type="page"/>
      </w:r>
    </w:p>
    <w:p w14:paraId="67BBAD61" w14:textId="77777777" w:rsidR="00511DAD" w:rsidRPr="00F56506" w:rsidRDefault="00000000" w:rsidP="00272EEC">
      <w:pPr>
        <w:spacing w:after="0" w:line="240" w:lineRule="auto"/>
      </w:pPr>
      <w:r w:rsidRPr="00F56506">
        <w:rPr>
          <w:b/>
          <w:color w:val="2A9D8F"/>
          <w:sz w:val="18"/>
        </w:rPr>
        <w:lastRenderedPageBreak/>
        <w:t>SECTION 07</w:t>
      </w:r>
    </w:p>
    <w:p w14:paraId="25F7527C" w14:textId="60867687" w:rsidR="00511DAD" w:rsidRPr="00F56506" w:rsidRDefault="00882491" w:rsidP="00272EEC">
      <w:pPr>
        <w:pStyle w:val="Heading1"/>
        <w:pBdr>
          <w:bottom w:val="single" w:sz="14" w:space="6" w:color="18324A"/>
        </w:pBdr>
        <w:spacing w:line="240" w:lineRule="auto"/>
        <w:rPr>
          <w:rFonts w:ascii="Aptos" w:hAnsi="Aptos"/>
        </w:rPr>
      </w:pPr>
      <w:r>
        <w:rPr>
          <w:rFonts w:ascii="Aptos" w:hAnsi="Aptos"/>
        </w:rPr>
        <w:t xml:space="preserve">TIF </w:t>
      </w:r>
      <w:r w:rsidR="00000000" w:rsidRPr="00F56506">
        <w:rPr>
          <w:rFonts w:ascii="Aptos" w:hAnsi="Aptos"/>
        </w:rPr>
        <w:t>District Typology</w:t>
      </w:r>
    </w:p>
    <w:p w14:paraId="1C241646" w14:textId="77777777" w:rsidR="00511DAD" w:rsidRPr="00F56506" w:rsidRDefault="00000000" w:rsidP="00272EEC">
      <w:pPr>
        <w:spacing w:after="0" w:line="240" w:lineRule="auto"/>
      </w:pPr>
      <w:r w:rsidRPr="00F56506">
        <w:rPr>
          <w:color w:val="5D6872"/>
          <w:sz w:val="22"/>
        </w:rPr>
        <w:t>Growth, Stabilization, and Close-Out are management categories - not political labels.</w:t>
      </w:r>
    </w:p>
    <w:tbl>
      <w:tblPr>
        <w:tblStyle w:val="TableGrid"/>
        <w:tblW w:w="0" w:type="auto"/>
        <w:jc w:val="center"/>
        <w:tblLook w:val="04A0" w:firstRow="1" w:lastRow="0" w:firstColumn="1" w:lastColumn="0" w:noHBand="0" w:noVBand="1"/>
      </w:tblPr>
      <w:tblGrid>
        <w:gridCol w:w="3404"/>
        <w:gridCol w:w="3405"/>
        <w:gridCol w:w="3405"/>
      </w:tblGrid>
      <w:tr w:rsidR="00511DAD" w:rsidRPr="00F56506" w14:paraId="0C65688D" w14:textId="77777777">
        <w:trPr>
          <w:jc w:val="center"/>
        </w:trPr>
        <w:tc>
          <w:tcPr>
            <w:tcW w:w="3408" w:type="dxa"/>
            <w:shd w:val="clear" w:color="auto" w:fill="18324A"/>
            <w:tcMar>
              <w:top w:w="130" w:type="dxa"/>
              <w:left w:w="130" w:type="dxa"/>
              <w:bottom w:w="130" w:type="dxa"/>
              <w:right w:w="130" w:type="dxa"/>
            </w:tcMar>
          </w:tcPr>
          <w:p w14:paraId="2F7729E3" w14:textId="77777777" w:rsidR="00511DAD" w:rsidRPr="00F56506" w:rsidRDefault="00000000" w:rsidP="00272EEC">
            <w:pPr>
              <w:spacing w:after="0" w:line="240" w:lineRule="auto"/>
            </w:pPr>
            <w:r w:rsidRPr="00F56506">
              <w:rPr>
                <w:b/>
                <w:color w:val="FFFFFF"/>
                <w:sz w:val="18"/>
              </w:rPr>
              <w:t>Tier</w:t>
            </w:r>
          </w:p>
        </w:tc>
        <w:tc>
          <w:tcPr>
            <w:tcW w:w="3408" w:type="dxa"/>
            <w:shd w:val="clear" w:color="auto" w:fill="18324A"/>
            <w:tcMar>
              <w:top w:w="130" w:type="dxa"/>
              <w:left w:w="130" w:type="dxa"/>
              <w:bottom w:w="130" w:type="dxa"/>
              <w:right w:w="130" w:type="dxa"/>
            </w:tcMar>
          </w:tcPr>
          <w:p w14:paraId="098EB49F" w14:textId="77777777" w:rsidR="00511DAD" w:rsidRPr="00F56506" w:rsidRDefault="00000000" w:rsidP="00272EEC">
            <w:pPr>
              <w:spacing w:after="0" w:line="240" w:lineRule="auto"/>
            </w:pPr>
            <w:r w:rsidRPr="00F56506">
              <w:rPr>
                <w:b/>
                <w:color w:val="FFFFFF"/>
                <w:sz w:val="18"/>
              </w:rPr>
              <w:t>Characteristics</w:t>
            </w:r>
          </w:p>
        </w:tc>
        <w:tc>
          <w:tcPr>
            <w:tcW w:w="3408" w:type="dxa"/>
            <w:shd w:val="clear" w:color="auto" w:fill="18324A"/>
            <w:tcMar>
              <w:top w:w="130" w:type="dxa"/>
              <w:left w:w="130" w:type="dxa"/>
              <w:bottom w:w="130" w:type="dxa"/>
              <w:right w:w="130" w:type="dxa"/>
            </w:tcMar>
          </w:tcPr>
          <w:p w14:paraId="42B3F25B" w14:textId="77777777" w:rsidR="00511DAD" w:rsidRPr="00F56506" w:rsidRDefault="00000000" w:rsidP="00272EEC">
            <w:pPr>
              <w:spacing w:after="0" w:line="240" w:lineRule="auto"/>
            </w:pPr>
            <w:r w:rsidRPr="00F56506">
              <w:rPr>
                <w:b/>
                <w:color w:val="FFFFFF"/>
                <w:sz w:val="18"/>
              </w:rPr>
              <w:t>Default posture</w:t>
            </w:r>
          </w:p>
        </w:tc>
      </w:tr>
      <w:tr w:rsidR="00511DAD" w:rsidRPr="00F56506" w14:paraId="7D165C96" w14:textId="77777777">
        <w:trPr>
          <w:jc w:val="center"/>
        </w:trPr>
        <w:tc>
          <w:tcPr>
            <w:tcW w:w="3408" w:type="dxa"/>
            <w:shd w:val="clear" w:color="auto" w:fill="FFFFFF"/>
            <w:tcMar>
              <w:top w:w="130" w:type="dxa"/>
              <w:left w:w="130" w:type="dxa"/>
              <w:bottom w:w="130" w:type="dxa"/>
              <w:right w:w="130" w:type="dxa"/>
            </w:tcMar>
          </w:tcPr>
          <w:p w14:paraId="29689462" w14:textId="77777777" w:rsidR="00511DAD" w:rsidRPr="00F56506" w:rsidRDefault="00000000" w:rsidP="00272EEC">
            <w:pPr>
              <w:spacing w:after="0" w:line="240" w:lineRule="auto"/>
            </w:pPr>
            <w:r w:rsidRPr="00F56506">
              <w:rPr>
                <w:sz w:val="17"/>
              </w:rPr>
              <w:t>Growth</w:t>
            </w:r>
          </w:p>
        </w:tc>
        <w:tc>
          <w:tcPr>
            <w:tcW w:w="3408" w:type="dxa"/>
            <w:shd w:val="clear" w:color="auto" w:fill="FFFFFF"/>
            <w:tcMar>
              <w:top w:w="130" w:type="dxa"/>
              <w:left w:w="130" w:type="dxa"/>
              <w:bottom w:w="130" w:type="dxa"/>
              <w:right w:w="130" w:type="dxa"/>
            </w:tcMar>
          </w:tcPr>
          <w:p w14:paraId="2C113F0E" w14:textId="77777777" w:rsidR="00511DAD" w:rsidRPr="00F56506" w:rsidRDefault="00000000" w:rsidP="00272EEC">
            <w:pPr>
              <w:spacing w:after="0" w:line="240" w:lineRule="auto"/>
            </w:pPr>
            <w:r w:rsidRPr="00F56506">
              <w:rPr>
                <w:sz w:val="17"/>
              </w:rPr>
              <w:t>Active need, credible pipeline, measurable opportunity.</w:t>
            </w:r>
          </w:p>
        </w:tc>
        <w:tc>
          <w:tcPr>
            <w:tcW w:w="3408" w:type="dxa"/>
            <w:shd w:val="clear" w:color="auto" w:fill="FFFFFF"/>
            <w:tcMar>
              <w:top w:w="130" w:type="dxa"/>
              <w:left w:w="130" w:type="dxa"/>
              <w:bottom w:w="130" w:type="dxa"/>
              <w:right w:w="130" w:type="dxa"/>
            </w:tcMar>
          </w:tcPr>
          <w:p w14:paraId="2CACD28E" w14:textId="77777777" w:rsidR="00511DAD" w:rsidRPr="00F56506" w:rsidRDefault="00000000" w:rsidP="00272EEC">
            <w:pPr>
              <w:spacing w:after="0" w:line="240" w:lineRule="auto"/>
            </w:pPr>
            <w:r w:rsidRPr="00F56506">
              <w:rPr>
                <w:sz w:val="17"/>
              </w:rPr>
              <w:t>Target investment, monitor execution, publish outcomes.</w:t>
            </w:r>
          </w:p>
        </w:tc>
      </w:tr>
      <w:tr w:rsidR="00511DAD" w:rsidRPr="00F56506" w14:paraId="00944AA1" w14:textId="77777777">
        <w:trPr>
          <w:jc w:val="center"/>
        </w:trPr>
        <w:tc>
          <w:tcPr>
            <w:tcW w:w="3408" w:type="dxa"/>
            <w:shd w:val="clear" w:color="auto" w:fill="F5F8FA"/>
            <w:tcMar>
              <w:top w:w="130" w:type="dxa"/>
              <w:left w:w="130" w:type="dxa"/>
              <w:bottom w:w="130" w:type="dxa"/>
              <w:right w:w="130" w:type="dxa"/>
            </w:tcMar>
          </w:tcPr>
          <w:p w14:paraId="5DEADFE0" w14:textId="77777777" w:rsidR="00511DAD" w:rsidRPr="00F56506" w:rsidRDefault="00000000" w:rsidP="00272EEC">
            <w:pPr>
              <w:spacing w:after="0" w:line="240" w:lineRule="auto"/>
            </w:pPr>
            <w:r w:rsidRPr="00F56506">
              <w:rPr>
                <w:sz w:val="17"/>
              </w:rPr>
              <w:t>Stabilization</w:t>
            </w:r>
          </w:p>
        </w:tc>
        <w:tc>
          <w:tcPr>
            <w:tcW w:w="3408" w:type="dxa"/>
            <w:shd w:val="clear" w:color="auto" w:fill="F5F8FA"/>
            <w:tcMar>
              <w:top w:w="130" w:type="dxa"/>
              <w:left w:w="130" w:type="dxa"/>
              <w:bottom w:w="130" w:type="dxa"/>
              <w:right w:w="130" w:type="dxa"/>
            </w:tcMar>
          </w:tcPr>
          <w:p w14:paraId="169B781B" w14:textId="77777777" w:rsidR="00511DAD" w:rsidRPr="00F56506" w:rsidRDefault="00000000" w:rsidP="00272EEC">
            <w:pPr>
              <w:spacing w:after="0" w:line="240" w:lineRule="auto"/>
            </w:pPr>
            <w:r w:rsidRPr="00F56506">
              <w:rPr>
                <w:sz w:val="17"/>
              </w:rPr>
              <w:t>Major investments substantially complete; defined obligations; maturing performance.</w:t>
            </w:r>
          </w:p>
        </w:tc>
        <w:tc>
          <w:tcPr>
            <w:tcW w:w="3408" w:type="dxa"/>
            <w:shd w:val="clear" w:color="auto" w:fill="F5F8FA"/>
            <w:tcMar>
              <w:top w:w="130" w:type="dxa"/>
              <w:left w:w="130" w:type="dxa"/>
              <w:bottom w:w="130" w:type="dxa"/>
              <w:right w:w="130" w:type="dxa"/>
            </w:tcMar>
          </w:tcPr>
          <w:p w14:paraId="655B7494" w14:textId="77777777" w:rsidR="00511DAD" w:rsidRPr="00F56506" w:rsidRDefault="00000000" w:rsidP="00272EEC">
            <w:pPr>
              <w:spacing w:after="0" w:line="240" w:lineRule="auto"/>
            </w:pPr>
            <w:r w:rsidRPr="00F56506">
              <w:rPr>
                <w:sz w:val="17"/>
              </w:rPr>
              <w:t>Limit new commitments, test surplus, plan transition.</w:t>
            </w:r>
          </w:p>
        </w:tc>
      </w:tr>
      <w:tr w:rsidR="00511DAD" w:rsidRPr="00F56506" w14:paraId="398B5C38" w14:textId="77777777">
        <w:trPr>
          <w:jc w:val="center"/>
        </w:trPr>
        <w:tc>
          <w:tcPr>
            <w:tcW w:w="3408" w:type="dxa"/>
            <w:shd w:val="clear" w:color="auto" w:fill="FFFFFF"/>
            <w:tcMar>
              <w:top w:w="130" w:type="dxa"/>
              <w:left w:w="130" w:type="dxa"/>
              <w:bottom w:w="130" w:type="dxa"/>
              <w:right w:w="130" w:type="dxa"/>
            </w:tcMar>
          </w:tcPr>
          <w:p w14:paraId="53FFB570" w14:textId="77777777" w:rsidR="00511DAD" w:rsidRPr="00F56506" w:rsidRDefault="00000000" w:rsidP="00272EEC">
            <w:pPr>
              <w:spacing w:after="0" w:line="240" w:lineRule="auto"/>
            </w:pPr>
            <w:r w:rsidRPr="00F56506">
              <w:rPr>
                <w:sz w:val="17"/>
              </w:rPr>
              <w:t>Close-Out</w:t>
            </w:r>
          </w:p>
        </w:tc>
        <w:tc>
          <w:tcPr>
            <w:tcW w:w="3408" w:type="dxa"/>
            <w:shd w:val="clear" w:color="auto" w:fill="FFFFFF"/>
            <w:tcMar>
              <w:top w:w="130" w:type="dxa"/>
              <w:left w:w="130" w:type="dxa"/>
              <w:bottom w:w="130" w:type="dxa"/>
              <w:right w:w="130" w:type="dxa"/>
            </w:tcMar>
          </w:tcPr>
          <w:p w14:paraId="13E07750" w14:textId="77777777" w:rsidR="00511DAD" w:rsidRPr="00F56506" w:rsidRDefault="00000000" w:rsidP="00272EEC">
            <w:pPr>
              <w:spacing w:after="0" w:line="240" w:lineRule="auto"/>
            </w:pPr>
            <w:r w:rsidRPr="00F56506">
              <w:rPr>
                <w:sz w:val="17"/>
              </w:rPr>
              <w:t>Core objectives achieved, weak remaining nexus, limited pipeline, or term near completion.</w:t>
            </w:r>
          </w:p>
        </w:tc>
        <w:tc>
          <w:tcPr>
            <w:tcW w:w="3408" w:type="dxa"/>
            <w:shd w:val="clear" w:color="auto" w:fill="FFFFFF"/>
            <w:tcMar>
              <w:top w:w="130" w:type="dxa"/>
              <w:left w:w="130" w:type="dxa"/>
              <w:bottom w:w="130" w:type="dxa"/>
              <w:right w:w="130" w:type="dxa"/>
            </w:tcMar>
          </w:tcPr>
          <w:p w14:paraId="254DED0A" w14:textId="77777777" w:rsidR="00511DAD" w:rsidRPr="00F56506" w:rsidRDefault="00000000" w:rsidP="00272EEC">
            <w:pPr>
              <w:spacing w:after="0" w:line="240" w:lineRule="auto"/>
            </w:pPr>
            <w:r w:rsidRPr="00F56506">
              <w:rPr>
                <w:sz w:val="17"/>
              </w:rPr>
              <w:t>Complete obligations, declare surplus, close on schedule.</w:t>
            </w:r>
          </w:p>
        </w:tc>
      </w:tr>
    </w:tbl>
    <w:p w14:paraId="4D6AE95A" w14:textId="77777777" w:rsidR="00511DAD" w:rsidRPr="00F56506" w:rsidRDefault="00000000" w:rsidP="00272EEC">
      <w:pPr>
        <w:pStyle w:val="Heading2"/>
        <w:spacing w:line="240" w:lineRule="auto"/>
        <w:rPr>
          <w:rFonts w:ascii="Aptos" w:hAnsi="Aptos"/>
        </w:rPr>
      </w:pPr>
      <w:r w:rsidRPr="00F56506">
        <w:rPr>
          <w:rFonts w:ascii="Aptos" w:hAnsi="Aptos"/>
        </w:rPr>
        <w:t>Classification safeguards</w:t>
      </w:r>
    </w:p>
    <w:p w14:paraId="1986F3BF" w14:textId="76191632" w:rsidR="00511DAD" w:rsidRPr="00F56506" w:rsidRDefault="00000000" w:rsidP="00272EEC">
      <w:pPr>
        <w:pStyle w:val="ListBullet"/>
        <w:spacing w:after="0" w:line="240" w:lineRule="auto"/>
      </w:pPr>
      <w:r w:rsidRPr="00F56506">
        <w:t xml:space="preserve">Use normalized financial definitions across all </w:t>
      </w:r>
      <w:r w:rsidR="00882491">
        <w:t xml:space="preserve">TIF </w:t>
      </w:r>
      <w:r w:rsidRPr="00F56506">
        <w:t>districts.</w:t>
      </w:r>
    </w:p>
    <w:p w14:paraId="694195E4" w14:textId="77777777" w:rsidR="00511DAD" w:rsidRPr="00F56506" w:rsidRDefault="00000000" w:rsidP="00272EEC">
      <w:pPr>
        <w:pStyle w:val="ListBullet"/>
        <w:spacing w:after="0" w:line="240" w:lineRule="auto"/>
      </w:pPr>
      <w:r w:rsidRPr="00F56506">
        <w:t>Separate binding obligations from aspirational project lists.</w:t>
      </w:r>
    </w:p>
    <w:p w14:paraId="14202BD0" w14:textId="77777777" w:rsidR="00511DAD" w:rsidRPr="00F56506" w:rsidRDefault="00000000" w:rsidP="00272EEC">
      <w:pPr>
        <w:pStyle w:val="ListBullet"/>
        <w:spacing w:after="0" w:line="240" w:lineRule="auto"/>
      </w:pPr>
      <w:r w:rsidRPr="00F56506">
        <w:t>Include neighborhood conditions and redevelopment need, not only revenue growth.</w:t>
      </w:r>
    </w:p>
    <w:p w14:paraId="313D9830" w14:textId="77777777" w:rsidR="00511DAD" w:rsidRPr="00F56506" w:rsidRDefault="00000000" w:rsidP="00272EEC">
      <w:pPr>
        <w:pStyle w:val="ListBullet"/>
        <w:spacing w:after="0" w:line="240" w:lineRule="auto"/>
      </w:pPr>
      <w:r w:rsidRPr="00F56506">
        <w:t>Publish provisional classifications before final action.</w:t>
      </w:r>
    </w:p>
    <w:p w14:paraId="23044A2C" w14:textId="77777777" w:rsidR="00511DAD" w:rsidRPr="00F56506" w:rsidRDefault="00000000" w:rsidP="00272EEC">
      <w:pPr>
        <w:pStyle w:val="ListBullet"/>
        <w:spacing w:after="0" w:line="240" w:lineRule="auto"/>
      </w:pPr>
      <w:r w:rsidRPr="00F56506">
        <w:t>Allow technical correction and documented reconsideration.</w:t>
      </w:r>
    </w:p>
    <w:p w14:paraId="769E4090" w14:textId="77777777" w:rsidR="00511DAD" w:rsidRDefault="00000000" w:rsidP="00272EEC">
      <w:pPr>
        <w:pStyle w:val="ListBullet"/>
        <w:spacing w:after="0" w:line="240" w:lineRule="auto"/>
      </w:pPr>
      <w:r w:rsidRPr="00F56506">
        <w:t>Refresh annually and explain changes.</w:t>
      </w:r>
    </w:p>
    <w:p w14:paraId="62A101A9" w14:textId="77777777" w:rsidR="00C67C17" w:rsidRPr="00F56506" w:rsidRDefault="00C67C17" w:rsidP="00C67C17">
      <w:pPr>
        <w:pStyle w:val="ListBullet"/>
        <w:numPr>
          <w:ilvl w:val="0"/>
          <w:numId w:val="0"/>
        </w:numPr>
        <w:spacing w:after="0" w:line="240" w:lineRule="auto"/>
      </w:pPr>
    </w:p>
    <w:tbl>
      <w:tblPr>
        <w:tblW w:w="0" w:type="auto"/>
        <w:jc w:val="center"/>
        <w:tblLook w:val="04A0" w:firstRow="1" w:lastRow="0" w:firstColumn="1" w:lastColumn="0" w:noHBand="0" w:noVBand="1"/>
      </w:tblPr>
      <w:tblGrid>
        <w:gridCol w:w="10199"/>
      </w:tblGrid>
      <w:tr w:rsidR="00511DAD" w:rsidRPr="00F56506" w14:paraId="0411127C" w14:textId="77777777">
        <w:trPr>
          <w:jc w:val="center"/>
        </w:trPr>
        <w:tc>
          <w:tcPr>
            <w:tcW w:w="10224" w:type="dxa"/>
            <w:tcBorders>
              <w:left w:val="single" w:sz="20" w:space="0" w:color="246A8A"/>
            </w:tcBorders>
            <w:shd w:val="clear" w:color="auto" w:fill="EAF1F5"/>
            <w:tcMar>
              <w:top w:w="190" w:type="dxa"/>
              <w:left w:w="190" w:type="dxa"/>
              <w:bottom w:w="190" w:type="dxa"/>
              <w:right w:w="190" w:type="dxa"/>
            </w:tcMar>
          </w:tcPr>
          <w:p w14:paraId="301FD890" w14:textId="77777777" w:rsidR="00511DAD" w:rsidRPr="00F56506" w:rsidRDefault="00000000" w:rsidP="00272EEC">
            <w:pPr>
              <w:spacing w:after="0" w:line="240" w:lineRule="auto"/>
            </w:pPr>
            <w:r w:rsidRPr="00F56506">
              <w:rPr>
                <w:b/>
                <w:color w:val="246A8A"/>
                <w:sz w:val="20"/>
              </w:rPr>
              <w:t>WHERE DATA IS INCOMPLETE</w:t>
            </w:r>
          </w:p>
          <w:p w14:paraId="50C3D6B7" w14:textId="77777777" w:rsidR="00511DAD" w:rsidRPr="00F56506" w:rsidRDefault="00000000" w:rsidP="00272EEC">
            <w:pPr>
              <w:spacing w:after="0" w:line="240" w:lineRule="auto"/>
            </w:pPr>
            <w:r w:rsidRPr="00F56506">
              <w:t>The current workspace does not contain one normalized district forensic table covering balances, cumulative flows, obligations, surplus, portability, age, original/current EAV, closure status, and uncommitted balances. Final district assignments should wait for that dataset.</w:t>
            </w:r>
          </w:p>
        </w:tc>
      </w:tr>
    </w:tbl>
    <w:p w14:paraId="1DFED705" w14:textId="77777777" w:rsidR="00511DAD" w:rsidRPr="00F56506" w:rsidRDefault="00511DAD" w:rsidP="00272EEC">
      <w:pPr>
        <w:spacing w:after="0" w:line="240" w:lineRule="auto"/>
      </w:pPr>
    </w:p>
    <w:p w14:paraId="548BA897" w14:textId="77777777" w:rsidR="00511DAD" w:rsidRPr="00F56506" w:rsidRDefault="00000000" w:rsidP="00272EEC">
      <w:pPr>
        <w:spacing w:after="0" w:line="240" w:lineRule="auto"/>
      </w:pPr>
      <w:r w:rsidRPr="00F56506">
        <w:br w:type="page"/>
      </w:r>
    </w:p>
    <w:p w14:paraId="0CCF9787" w14:textId="77777777" w:rsidR="00511DAD" w:rsidRPr="00F56506" w:rsidRDefault="00000000" w:rsidP="00272EEC">
      <w:pPr>
        <w:spacing w:after="0" w:line="240" w:lineRule="auto"/>
      </w:pPr>
      <w:r w:rsidRPr="00F56506">
        <w:rPr>
          <w:b/>
          <w:color w:val="2A9D8F"/>
          <w:sz w:val="18"/>
        </w:rPr>
        <w:lastRenderedPageBreak/>
        <w:t>SECTION 08</w:t>
      </w:r>
    </w:p>
    <w:p w14:paraId="12F4D463" w14:textId="77777777" w:rsidR="00511DAD" w:rsidRPr="00F56506" w:rsidRDefault="00000000" w:rsidP="00272EEC">
      <w:pPr>
        <w:pStyle w:val="Heading1"/>
        <w:pBdr>
          <w:bottom w:val="single" w:sz="14" w:space="6" w:color="18324A"/>
        </w:pBdr>
        <w:spacing w:line="240" w:lineRule="auto"/>
        <w:rPr>
          <w:rFonts w:ascii="Aptos" w:hAnsi="Aptos"/>
        </w:rPr>
      </w:pPr>
      <w:r w:rsidRPr="00F56506">
        <w:rPr>
          <w:rFonts w:ascii="Aptos" w:hAnsi="Aptos"/>
        </w:rPr>
        <w:t>TIF Performance Index - Prototype</w:t>
      </w:r>
    </w:p>
    <w:p w14:paraId="5584923C" w14:textId="77777777" w:rsidR="00511DAD" w:rsidRPr="00F56506" w:rsidRDefault="00000000" w:rsidP="00272EEC">
      <w:pPr>
        <w:spacing w:after="0" w:line="240" w:lineRule="auto"/>
      </w:pPr>
      <w:r w:rsidRPr="00F56506">
        <w:rPr>
          <w:color w:val="5D6872"/>
          <w:sz w:val="22"/>
        </w:rPr>
        <w:t>A transparent scorecard with explicit weights and data-confidence rules.</w:t>
      </w:r>
    </w:p>
    <w:p w14:paraId="59EAF172" w14:textId="77777777" w:rsidR="00511DAD" w:rsidRPr="00F56506" w:rsidRDefault="00000000" w:rsidP="00272EEC">
      <w:pPr>
        <w:keepLines/>
        <w:spacing w:after="0" w:line="240" w:lineRule="auto"/>
      </w:pPr>
      <w:r w:rsidRPr="00F56506">
        <w:t>The Index is proposed as a management and transparency tool. It should not be used mechanically to close or extend a district. It should organize evidence, expose gaps, and support structured judgment.</w:t>
      </w:r>
    </w:p>
    <w:tbl>
      <w:tblPr>
        <w:tblStyle w:val="TableGrid"/>
        <w:tblW w:w="0" w:type="auto"/>
        <w:jc w:val="center"/>
        <w:tblLook w:val="04A0" w:firstRow="1" w:lastRow="0" w:firstColumn="1" w:lastColumn="0" w:noHBand="0" w:noVBand="1"/>
      </w:tblPr>
      <w:tblGrid>
        <w:gridCol w:w="3405"/>
        <w:gridCol w:w="3404"/>
        <w:gridCol w:w="3405"/>
      </w:tblGrid>
      <w:tr w:rsidR="00511DAD" w:rsidRPr="00F56506" w14:paraId="4E509CA1" w14:textId="77777777">
        <w:trPr>
          <w:jc w:val="center"/>
        </w:trPr>
        <w:tc>
          <w:tcPr>
            <w:tcW w:w="3408" w:type="dxa"/>
            <w:shd w:val="clear" w:color="auto" w:fill="18324A"/>
            <w:tcMar>
              <w:top w:w="130" w:type="dxa"/>
              <w:left w:w="130" w:type="dxa"/>
              <w:bottom w:w="130" w:type="dxa"/>
              <w:right w:w="130" w:type="dxa"/>
            </w:tcMar>
          </w:tcPr>
          <w:p w14:paraId="253D809A" w14:textId="77777777" w:rsidR="00511DAD" w:rsidRPr="00F56506" w:rsidRDefault="00000000" w:rsidP="00272EEC">
            <w:pPr>
              <w:spacing w:after="0" w:line="240" w:lineRule="auto"/>
            </w:pPr>
            <w:r w:rsidRPr="00F56506">
              <w:rPr>
                <w:b/>
                <w:color w:val="FFFFFF"/>
                <w:sz w:val="18"/>
              </w:rPr>
              <w:t>Metric</w:t>
            </w:r>
          </w:p>
        </w:tc>
        <w:tc>
          <w:tcPr>
            <w:tcW w:w="3408" w:type="dxa"/>
            <w:shd w:val="clear" w:color="auto" w:fill="18324A"/>
            <w:tcMar>
              <w:top w:w="130" w:type="dxa"/>
              <w:left w:w="130" w:type="dxa"/>
              <w:bottom w:w="130" w:type="dxa"/>
              <w:right w:w="130" w:type="dxa"/>
            </w:tcMar>
          </w:tcPr>
          <w:p w14:paraId="437B53C9" w14:textId="77777777" w:rsidR="00511DAD" w:rsidRPr="00F56506" w:rsidRDefault="00000000" w:rsidP="00272EEC">
            <w:pPr>
              <w:spacing w:after="0" w:line="240" w:lineRule="auto"/>
            </w:pPr>
            <w:r w:rsidRPr="00F56506">
              <w:rPr>
                <w:b/>
                <w:color w:val="FFFFFF"/>
                <w:sz w:val="18"/>
              </w:rPr>
              <w:t>Weight</w:t>
            </w:r>
          </w:p>
        </w:tc>
        <w:tc>
          <w:tcPr>
            <w:tcW w:w="3408" w:type="dxa"/>
            <w:shd w:val="clear" w:color="auto" w:fill="18324A"/>
            <w:tcMar>
              <w:top w:w="130" w:type="dxa"/>
              <w:left w:w="130" w:type="dxa"/>
              <w:bottom w:w="130" w:type="dxa"/>
              <w:right w:w="130" w:type="dxa"/>
            </w:tcMar>
          </w:tcPr>
          <w:p w14:paraId="6D4A1691" w14:textId="77777777" w:rsidR="00511DAD" w:rsidRPr="00F56506" w:rsidRDefault="00000000" w:rsidP="00272EEC">
            <w:pPr>
              <w:spacing w:after="0" w:line="240" w:lineRule="auto"/>
            </w:pPr>
            <w:r w:rsidRPr="00F56506">
              <w:rPr>
                <w:b/>
                <w:color w:val="FFFFFF"/>
                <w:sz w:val="18"/>
              </w:rPr>
              <w:t>Decision question</w:t>
            </w:r>
          </w:p>
        </w:tc>
      </w:tr>
      <w:tr w:rsidR="00511DAD" w:rsidRPr="00F56506" w14:paraId="6C609B47" w14:textId="77777777">
        <w:trPr>
          <w:jc w:val="center"/>
        </w:trPr>
        <w:tc>
          <w:tcPr>
            <w:tcW w:w="3408" w:type="dxa"/>
            <w:shd w:val="clear" w:color="auto" w:fill="FFFFFF"/>
            <w:tcMar>
              <w:top w:w="130" w:type="dxa"/>
              <w:left w:w="130" w:type="dxa"/>
              <w:bottom w:w="130" w:type="dxa"/>
              <w:right w:w="130" w:type="dxa"/>
            </w:tcMar>
          </w:tcPr>
          <w:p w14:paraId="0595B22B" w14:textId="77777777" w:rsidR="00511DAD" w:rsidRPr="00F56506" w:rsidRDefault="00000000" w:rsidP="00272EEC">
            <w:pPr>
              <w:spacing w:after="0" w:line="240" w:lineRule="auto"/>
            </w:pPr>
            <w:r w:rsidRPr="00F56506">
              <w:rPr>
                <w:sz w:val="17"/>
              </w:rPr>
              <w:t>Redevelopment need/additionality</w:t>
            </w:r>
          </w:p>
        </w:tc>
        <w:tc>
          <w:tcPr>
            <w:tcW w:w="3408" w:type="dxa"/>
            <w:shd w:val="clear" w:color="auto" w:fill="FFFFFF"/>
            <w:tcMar>
              <w:top w:w="130" w:type="dxa"/>
              <w:left w:w="130" w:type="dxa"/>
              <w:bottom w:w="130" w:type="dxa"/>
              <w:right w:w="130" w:type="dxa"/>
            </w:tcMar>
          </w:tcPr>
          <w:p w14:paraId="5AE0E1C1" w14:textId="77777777" w:rsidR="00511DAD" w:rsidRPr="00F56506" w:rsidRDefault="00000000" w:rsidP="00272EEC">
            <w:pPr>
              <w:spacing w:after="0" w:line="240" w:lineRule="auto"/>
            </w:pPr>
            <w:r w:rsidRPr="00F56506">
              <w:rPr>
                <w:sz w:val="17"/>
              </w:rPr>
              <w:t>15%</w:t>
            </w:r>
          </w:p>
        </w:tc>
        <w:tc>
          <w:tcPr>
            <w:tcW w:w="3408" w:type="dxa"/>
            <w:shd w:val="clear" w:color="auto" w:fill="FFFFFF"/>
            <w:tcMar>
              <w:top w:w="130" w:type="dxa"/>
              <w:left w:w="130" w:type="dxa"/>
              <w:bottom w:w="130" w:type="dxa"/>
              <w:right w:w="130" w:type="dxa"/>
            </w:tcMar>
          </w:tcPr>
          <w:p w14:paraId="0041838E" w14:textId="77777777" w:rsidR="00511DAD" w:rsidRPr="00F56506" w:rsidRDefault="00000000" w:rsidP="00272EEC">
            <w:pPr>
              <w:spacing w:after="0" w:line="240" w:lineRule="auto"/>
            </w:pPr>
            <w:r w:rsidRPr="00F56506">
              <w:rPr>
                <w:sz w:val="17"/>
              </w:rPr>
              <w:t>Is intervention still necessary and catalytic?</w:t>
            </w:r>
          </w:p>
        </w:tc>
      </w:tr>
      <w:tr w:rsidR="00511DAD" w:rsidRPr="00F56506" w14:paraId="35C07944" w14:textId="77777777">
        <w:trPr>
          <w:jc w:val="center"/>
        </w:trPr>
        <w:tc>
          <w:tcPr>
            <w:tcW w:w="3408" w:type="dxa"/>
            <w:shd w:val="clear" w:color="auto" w:fill="F5F8FA"/>
            <w:tcMar>
              <w:top w:w="130" w:type="dxa"/>
              <w:left w:w="130" w:type="dxa"/>
              <w:bottom w:w="130" w:type="dxa"/>
              <w:right w:w="130" w:type="dxa"/>
            </w:tcMar>
          </w:tcPr>
          <w:p w14:paraId="5131D194" w14:textId="77777777" w:rsidR="00511DAD" w:rsidRPr="00F56506" w:rsidRDefault="00000000" w:rsidP="00272EEC">
            <w:pPr>
              <w:spacing w:after="0" w:line="240" w:lineRule="auto"/>
            </w:pPr>
            <w:r w:rsidRPr="00F56506">
              <w:rPr>
                <w:sz w:val="17"/>
              </w:rPr>
              <w:t>Project delivery</w:t>
            </w:r>
          </w:p>
        </w:tc>
        <w:tc>
          <w:tcPr>
            <w:tcW w:w="3408" w:type="dxa"/>
            <w:shd w:val="clear" w:color="auto" w:fill="F5F8FA"/>
            <w:tcMar>
              <w:top w:w="130" w:type="dxa"/>
              <w:left w:w="130" w:type="dxa"/>
              <w:bottom w:w="130" w:type="dxa"/>
              <w:right w:w="130" w:type="dxa"/>
            </w:tcMar>
          </w:tcPr>
          <w:p w14:paraId="7F41FA4C" w14:textId="77777777" w:rsidR="00511DAD" w:rsidRPr="00F56506" w:rsidRDefault="00000000" w:rsidP="00272EEC">
            <w:pPr>
              <w:spacing w:after="0" w:line="240" w:lineRule="auto"/>
            </w:pPr>
            <w:r w:rsidRPr="00F56506">
              <w:rPr>
                <w:sz w:val="17"/>
              </w:rPr>
              <w:t>15%</w:t>
            </w:r>
          </w:p>
        </w:tc>
        <w:tc>
          <w:tcPr>
            <w:tcW w:w="3408" w:type="dxa"/>
            <w:shd w:val="clear" w:color="auto" w:fill="F5F8FA"/>
            <w:tcMar>
              <w:top w:w="130" w:type="dxa"/>
              <w:left w:w="130" w:type="dxa"/>
              <w:bottom w:w="130" w:type="dxa"/>
              <w:right w:w="130" w:type="dxa"/>
            </w:tcMar>
          </w:tcPr>
          <w:p w14:paraId="212C2627" w14:textId="77777777" w:rsidR="00511DAD" w:rsidRPr="00F56506" w:rsidRDefault="00000000" w:rsidP="00272EEC">
            <w:pPr>
              <w:spacing w:after="0" w:line="240" w:lineRule="auto"/>
            </w:pPr>
            <w:r w:rsidRPr="00F56506">
              <w:rPr>
                <w:sz w:val="17"/>
              </w:rPr>
              <w:t>Were projects completed on time and within scope?</w:t>
            </w:r>
          </w:p>
        </w:tc>
      </w:tr>
      <w:tr w:rsidR="00511DAD" w:rsidRPr="00F56506" w14:paraId="52B1E71F" w14:textId="77777777">
        <w:trPr>
          <w:jc w:val="center"/>
        </w:trPr>
        <w:tc>
          <w:tcPr>
            <w:tcW w:w="3408" w:type="dxa"/>
            <w:shd w:val="clear" w:color="auto" w:fill="FFFFFF"/>
            <w:tcMar>
              <w:top w:w="130" w:type="dxa"/>
              <w:left w:w="130" w:type="dxa"/>
              <w:bottom w:w="130" w:type="dxa"/>
              <w:right w:w="130" w:type="dxa"/>
            </w:tcMar>
          </w:tcPr>
          <w:p w14:paraId="33F8EA0A" w14:textId="77777777" w:rsidR="00511DAD" w:rsidRPr="00F56506" w:rsidRDefault="00000000" w:rsidP="00272EEC">
            <w:pPr>
              <w:spacing w:after="0" w:line="240" w:lineRule="auto"/>
            </w:pPr>
            <w:r w:rsidRPr="00F56506">
              <w:rPr>
                <w:sz w:val="17"/>
              </w:rPr>
              <w:t>Private investment leveraged</w:t>
            </w:r>
          </w:p>
        </w:tc>
        <w:tc>
          <w:tcPr>
            <w:tcW w:w="3408" w:type="dxa"/>
            <w:shd w:val="clear" w:color="auto" w:fill="FFFFFF"/>
            <w:tcMar>
              <w:top w:w="130" w:type="dxa"/>
              <w:left w:w="130" w:type="dxa"/>
              <w:bottom w:w="130" w:type="dxa"/>
              <w:right w:w="130" w:type="dxa"/>
            </w:tcMar>
          </w:tcPr>
          <w:p w14:paraId="6F374E48" w14:textId="77777777" w:rsidR="00511DAD" w:rsidRPr="00F56506" w:rsidRDefault="00000000" w:rsidP="00272EEC">
            <w:pPr>
              <w:spacing w:after="0" w:line="240" w:lineRule="auto"/>
            </w:pPr>
            <w:r w:rsidRPr="00F56506">
              <w:rPr>
                <w:sz w:val="17"/>
              </w:rPr>
              <w:t>15%</w:t>
            </w:r>
          </w:p>
        </w:tc>
        <w:tc>
          <w:tcPr>
            <w:tcW w:w="3408" w:type="dxa"/>
            <w:shd w:val="clear" w:color="auto" w:fill="FFFFFF"/>
            <w:tcMar>
              <w:top w:w="130" w:type="dxa"/>
              <w:left w:w="130" w:type="dxa"/>
              <w:bottom w:w="130" w:type="dxa"/>
              <w:right w:w="130" w:type="dxa"/>
            </w:tcMar>
          </w:tcPr>
          <w:p w14:paraId="37C31964" w14:textId="77777777" w:rsidR="00511DAD" w:rsidRPr="00F56506" w:rsidRDefault="00000000" w:rsidP="00272EEC">
            <w:pPr>
              <w:spacing w:after="0" w:line="240" w:lineRule="auto"/>
            </w:pPr>
            <w:r w:rsidRPr="00F56506">
              <w:rPr>
                <w:sz w:val="17"/>
              </w:rPr>
              <w:t>What verified private capital followed?</w:t>
            </w:r>
          </w:p>
        </w:tc>
      </w:tr>
      <w:tr w:rsidR="00511DAD" w:rsidRPr="00F56506" w14:paraId="56262BE0" w14:textId="77777777">
        <w:trPr>
          <w:jc w:val="center"/>
        </w:trPr>
        <w:tc>
          <w:tcPr>
            <w:tcW w:w="3408" w:type="dxa"/>
            <w:shd w:val="clear" w:color="auto" w:fill="F5F8FA"/>
            <w:tcMar>
              <w:top w:w="130" w:type="dxa"/>
              <w:left w:w="130" w:type="dxa"/>
              <w:bottom w:w="130" w:type="dxa"/>
              <w:right w:w="130" w:type="dxa"/>
            </w:tcMar>
          </w:tcPr>
          <w:p w14:paraId="0DFC6948" w14:textId="77777777" w:rsidR="00511DAD" w:rsidRPr="00F56506" w:rsidRDefault="00000000" w:rsidP="00272EEC">
            <w:pPr>
              <w:spacing w:after="0" w:line="240" w:lineRule="auto"/>
            </w:pPr>
            <w:r w:rsidRPr="00F56506">
              <w:rPr>
                <w:sz w:val="17"/>
              </w:rPr>
              <w:t>Tax-base/occupancy outcomes</w:t>
            </w:r>
          </w:p>
        </w:tc>
        <w:tc>
          <w:tcPr>
            <w:tcW w:w="3408" w:type="dxa"/>
            <w:shd w:val="clear" w:color="auto" w:fill="F5F8FA"/>
            <w:tcMar>
              <w:top w:w="130" w:type="dxa"/>
              <w:left w:w="130" w:type="dxa"/>
              <w:bottom w:w="130" w:type="dxa"/>
              <w:right w:w="130" w:type="dxa"/>
            </w:tcMar>
          </w:tcPr>
          <w:p w14:paraId="275F9A8B" w14:textId="77777777" w:rsidR="00511DAD" w:rsidRPr="00F56506" w:rsidRDefault="00000000" w:rsidP="00272EEC">
            <w:pPr>
              <w:spacing w:after="0" w:line="240" w:lineRule="auto"/>
            </w:pPr>
            <w:r w:rsidRPr="00F56506">
              <w:rPr>
                <w:sz w:val="17"/>
              </w:rPr>
              <w:t>15%</w:t>
            </w:r>
          </w:p>
        </w:tc>
        <w:tc>
          <w:tcPr>
            <w:tcW w:w="3408" w:type="dxa"/>
            <w:shd w:val="clear" w:color="auto" w:fill="F5F8FA"/>
            <w:tcMar>
              <w:top w:w="130" w:type="dxa"/>
              <w:left w:w="130" w:type="dxa"/>
              <w:bottom w:w="130" w:type="dxa"/>
              <w:right w:w="130" w:type="dxa"/>
            </w:tcMar>
          </w:tcPr>
          <w:p w14:paraId="19B8807E" w14:textId="77777777" w:rsidR="00511DAD" w:rsidRPr="00F56506" w:rsidRDefault="00000000" w:rsidP="00272EEC">
            <w:pPr>
              <w:spacing w:after="0" w:line="240" w:lineRule="auto"/>
            </w:pPr>
            <w:r w:rsidRPr="00F56506">
              <w:rPr>
                <w:sz w:val="17"/>
              </w:rPr>
              <w:t>Did productive use improve relative to baseline?</w:t>
            </w:r>
          </w:p>
        </w:tc>
      </w:tr>
      <w:tr w:rsidR="00511DAD" w:rsidRPr="00F56506" w14:paraId="61B67962" w14:textId="77777777">
        <w:trPr>
          <w:jc w:val="center"/>
        </w:trPr>
        <w:tc>
          <w:tcPr>
            <w:tcW w:w="3408" w:type="dxa"/>
            <w:shd w:val="clear" w:color="auto" w:fill="FFFFFF"/>
            <w:tcMar>
              <w:top w:w="130" w:type="dxa"/>
              <w:left w:w="130" w:type="dxa"/>
              <w:bottom w:w="130" w:type="dxa"/>
              <w:right w:w="130" w:type="dxa"/>
            </w:tcMar>
          </w:tcPr>
          <w:p w14:paraId="116E22DE" w14:textId="77777777" w:rsidR="00511DAD" w:rsidRPr="00F56506" w:rsidRDefault="00000000" w:rsidP="00272EEC">
            <w:pPr>
              <w:spacing w:after="0" w:line="240" w:lineRule="auto"/>
            </w:pPr>
            <w:r w:rsidRPr="00F56506">
              <w:rPr>
                <w:sz w:val="17"/>
              </w:rPr>
              <w:t>Jobs, housing, community outcomes</w:t>
            </w:r>
          </w:p>
        </w:tc>
        <w:tc>
          <w:tcPr>
            <w:tcW w:w="3408" w:type="dxa"/>
            <w:shd w:val="clear" w:color="auto" w:fill="FFFFFF"/>
            <w:tcMar>
              <w:top w:w="130" w:type="dxa"/>
              <w:left w:w="130" w:type="dxa"/>
              <w:bottom w:w="130" w:type="dxa"/>
              <w:right w:w="130" w:type="dxa"/>
            </w:tcMar>
          </w:tcPr>
          <w:p w14:paraId="493C671B" w14:textId="77777777" w:rsidR="00511DAD" w:rsidRPr="00F56506" w:rsidRDefault="00000000" w:rsidP="00272EEC">
            <w:pPr>
              <w:spacing w:after="0" w:line="240" w:lineRule="auto"/>
            </w:pPr>
            <w:r w:rsidRPr="00F56506">
              <w:rPr>
                <w:sz w:val="17"/>
              </w:rPr>
              <w:t>15%</w:t>
            </w:r>
          </w:p>
        </w:tc>
        <w:tc>
          <w:tcPr>
            <w:tcW w:w="3408" w:type="dxa"/>
            <w:shd w:val="clear" w:color="auto" w:fill="FFFFFF"/>
            <w:tcMar>
              <w:top w:w="130" w:type="dxa"/>
              <w:left w:w="130" w:type="dxa"/>
              <w:bottom w:w="130" w:type="dxa"/>
              <w:right w:w="130" w:type="dxa"/>
            </w:tcMar>
          </w:tcPr>
          <w:p w14:paraId="2D4C4316" w14:textId="77777777" w:rsidR="00511DAD" w:rsidRPr="00F56506" w:rsidRDefault="00000000" w:rsidP="00272EEC">
            <w:pPr>
              <w:spacing w:after="0" w:line="240" w:lineRule="auto"/>
            </w:pPr>
            <w:r w:rsidRPr="00F56506">
              <w:rPr>
                <w:sz w:val="17"/>
              </w:rPr>
              <w:t>What locally relevant outcomes were delivered?</w:t>
            </w:r>
          </w:p>
        </w:tc>
      </w:tr>
      <w:tr w:rsidR="00511DAD" w:rsidRPr="00F56506" w14:paraId="1EC3389F" w14:textId="77777777">
        <w:trPr>
          <w:jc w:val="center"/>
        </w:trPr>
        <w:tc>
          <w:tcPr>
            <w:tcW w:w="3408" w:type="dxa"/>
            <w:shd w:val="clear" w:color="auto" w:fill="F5F8FA"/>
            <w:tcMar>
              <w:top w:w="130" w:type="dxa"/>
              <w:left w:w="130" w:type="dxa"/>
              <w:bottom w:w="130" w:type="dxa"/>
              <w:right w:w="130" w:type="dxa"/>
            </w:tcMar>
          </w:tcPr>
          <w:p w14:paraId="305B8F00" w14:textId="77777777" w:rsidR="00511DAD" w:rsidRPr="00F56506" w:rsidRDefault="00000000" w:rsidP="00272EEC">
            <w:pPr>
              <w:spacing w:after="0" w:line="240" w:lineRule="auto"/>
            </w:pPr>
            <w:r w:rsidRPr="00F56506">
              <w:rPr>
                <w:sz w:val="17"/>
              </w:rPr>
              <w:t>Financial stewardship</w:t>
            </w:r>
          </w:p>
        </w:tc>
        <w:tc>
          <w:tcPr>
            <w:tcW w:w="3408" w:type="dxa"/>
            <w:shd w:val="clear" w:color="auto" w:fill="F5F8FA"/>
            <w:tcMar>
              <w:top w:w="130" w:type="dxa"/>
              <w:left w:w="130" w:type="dxa"/>
              <w:bottom w:w="130" w:type="dxa"/>
              <w:right w:w="130" w:type="dxa"/>
            </w:tcMar>
          </w:tcPr>
          <w:p w14:paraId="4389CA24" w14:textId="77777777" w:rsidR="00511DAD" w:rsidRPr="00F56506" w:rsidRDefault="00000000" w:rsidP="00272EEC">
            <w:pPr>
              <w:spacing w:after="0" w:line="240" w:lineRule="auto"/>
            </w:pPr>
            <w:r w:rsidRPr="00F56506">
              <w:rPr>
                <w:sz w:val="17"/>
              </w:rPr>
              <w:t>15%</w:t>
            </w:r>
          </w:p>
        </w:tc>
        <w:tc>
          <w:tcPr>
            <w:tcW w:w="3408" w:type="dxa"/>
            <w:shd w:val="clear" w:color="auto" w:fill="F5F8FA"/>
            <w:tcMar>
              <w:top w:w="130" w:type="dxa"/>
              <w:left w:w="130" w:type="dxa"/>
              <w:bottom w:w="130" w:type="dxa"/>
              <w:right w:w="130" w:type="dxa"/>
            </w:tcMar>
          </w:tcPr>
          <w:p w14:paraId="181CAA70" w14:textId="77777777" w:rsidR="00511DAD" w:rsidRPr="00F56506" w:rsidRDefault="00000000" w:rsidP="00272EEC">
            <w:pPr>
              <w:spacing w:after="0" w:line="240" w:lineRule="auto"/>
            </w:pPr>
            <w:r w:rsidRPr="00F56506">
              <w:rPr>
                <w:sz w:val="17"/>
              </w:rPr>
              <w:t>Are balances, obligations, transfers, and surplus well managed?</w:t>
            </w:r>
          </w:p>
        </w:tc>
      </w:tr>
      <w:tr w:rsidR="00511DAD" w:rsidRPr="00F56506" w14:paraId="2B7EB3AF" w14:textId="77777777">
        <w:trPr>
          <w:jc w:val="center"/>
        </w:trPr>
        <w:tc>
          <w:tcPr>
            <w:tcW w:w="3408" w:type="dxa"/>
            <w:shd w:val="clear" w:color="auto" w:fill="FFFFFF"/>
            <w:tcMar>
              <w:top w:w="130" w:type="dxa"/>
              <w:left w:w="130" w:type="dxa"/>
              <w:bottom w:w="130" w:type="dxa"/>
              <w:right w:w="130" w:type="dxa"/>
            </w:tcMar>
          </w:tcPr>
          <w:p w14:paraId="425FEC80" w14:textId="77777777" w:rsidR="00511DAD" w:rsidRPr="00F56506" w:rsidRDefault="00000000" w:rsidP="00272EEC">
            <w:pPr>
              <w:spacing w:after="0" w:line="240" w:lineRule="auto"/>
            </w:pPr>
            <w:r w:rsidRPr="00F56506">
              <w:rPr>
                <w:sz w:val="17"/>
              </w:rPr>
              <w:t>Transparency/data quality</w:t>
            </w:r>
          </w:p>
        </w:tc>
        <w:tc>
          <w:tcPr>
            <w:tcW w:w="3408" w:type="dxa"/>
            <w:shd w:val="clear" w:color="auto" w:fill="FFFFFF"/>
            <w:tcMar>
              <w:top w:w="130" w:type="dxa"/>
              <w:left w:w="130" w:type="dxa"/>
              <w:bottom w:w="130" w:type="dxa"/>
              <w:right w:w="130" w:type="dxa"/>
            </w:tcMar>
          </w:tcPr>
          <w:p w14:paraId="7500C1F0" w14:textId="77777777" w:rsidR="00511DAD" w:rsidRPr="00F56506" w:rsidRDefault="00000000" w:rsidP="00272EEC">
            <w:pPr>
              <w:spacing w:after="0" w:line="240" w:lineRule="auto"/>
            </w:pPr>
            <w:r w:rsidRPr="00F56506">
              <w:rPr>
                <w:sz w:val="17"/>
              </w:rPr>
              <w:t>10%</w:t>
            </w:r>
          </w:p>
        </w:tc>
        <w:tc>
          <w:tcPr>
            <w:tcW w:w="3408" w:type="dxa"/>
            <w:shd w:val="clear" w:color="auto" w:fill="FFFFFF"/>
            <w:tcMar>
              <w:top w:w="130" w:type="dxa"/>
              <w:left w:w="130" w:type="dxa"/>
              <w:bottom w:w="130" w:type="dxa"/>
              <w:right w:w="130" w:type="dxa"/>
            </w:tcMar>
          </w:tcPr>
          <w:p w14:paraId="391D136B" w14:textId="77777777" w:rsidR="00511DAD" w:rsidRPr="00F56506" w:rsidRDefault="00000000" w:rsidP="00272EEC">
            <w:pPr>
              <w:spacing w:after="0" w:line="240" w:lineRule="auto"/>
            </w:pPr>
            <w:r w:rsidRPr="00F56506">
              <w:rPr>
                <w:sz w:val="17"/>
              </w:rPr>
              <w:t>Are reports timely, reconcilable, and complete?</w:t>
            </w:r>
          </w:p>
        </w:tc>
      </w:tr>
    </w:tbl>
    <w:p w14:paraId="36C002D0" w14:textId="77777777" w:rsidR="00511DAD" w:rsidRPr="00F56506" w:rsidRDefault="00511DAD" w:rsidP="00272EEC">
      <w:pPr>
        <w:spacing w:after="0" w:line="240" w:lineRule="auto"/>
      </w:pPr>
    </w:p>
    <w:p w14:paraId="7F38AEEA" w14:textId="77777777" w:rsidR="00511DAD" w:rsidRPr="00F56506" w:rsidRDefault="00000000" w:rsidP="00272EEC">
      <w:pPr>
        <w:pStyle w:val="ListBullet"/>
        <w:spacing w:after="0" w:line="240" w:lineRule="auto"/>
      </w:pPr>
      <w:r w:rsidRPr="00F56506">
        <w:t>Every metric should disclose source, period, and confidence.</w:t>
      </w:r>
    </w:p>
    <w:p w14:paraId="3C9B408B" w14:textId="77777777" w:rsidR="00511DAD" w:rsidRPr="00F56506" w:rsidRDefault="00000000" w:rsidP="00272EEC">
      <w:pPr>
        <w:pStyle w:val="ListBullet"/>
        <w:spacing w:after="0" w:line="240" w:lineRule="auto"/>
      </w:pPr>
      <w:r w:rsidRPr="00F56506">
        <w:t>Missing data reduces confidence; it is not automatic failure.</w:t>
      </w:r>
    </w:p>
    <w:p w14:paraId="2B07DFCD" w14:textId="77777777" w:rsidR="00511DAD" w:rsidRPr="00F56506" w:rsidRDefault="00000000" w:rsidP="00272EEC">
      <w:pPr>
        <w:pStyle w:val="ListBullet"/>
        <w:spacing w:after="0" w:line="240" w:lineRule="auto"/>
      </w:pPr>
      <w:r w:rsidRPr="00F56506">
        <w:t>Weights may vary modestly by district type, but changes must be public.</w:t>
      </w:r>
    </w:p>
    <w:p w14:paraId="68218400" w14:textId="77777777" w:rsidR="00511DAD" w:rsidRPr="00F56506" w:rsidRDefault="00000000" w:rsidP="00272EEC">
      <w:pPr>
        <w:pStyle w:val="ListBullet"/>
        <w:spacing w:after="0" w:line="240" w:lineRule="auto"/>
      </w:pPr>
      <w:r w:rsidRPr="00F56506">
        <w:t>Report both composite score and underlying values.</w:t>
      </w:r>
    </w:p>
    <w:p w14:paraId="68D1ED9B" w14:textId="77777777" w:rsidR="00511DAD" w:rsidRPr="00F56506" w:rsidRDefault="00000000" w:rsidP="00272EEC">
      <w:pPr>
        <w:pStyle w:val="ListBullet"/>
        <w:spacing w:after="0" w:line="240" w:lineRule="auto"/>
      </w:pPr>
      <w:r w:rsidRPr="00F56506">
        <w:t>Treat Year One as a validation year with provisional scores.</w:t>
      </w:r>
    </w:p>
    <w:tbl>
      <w:tblPr>
        <w:tblW w:w="0" w:type="auto"/>
        <w:jc w:val="center"/>
        <w:tblLook w:val="04A0" w:firstRow="1" w:lastRow="0" w:firstColumn="1" w:lastColumn="0" w:noHBand="0" w:noVBand="1"/>
      </w:tblPr>
      <w:tblGrid>
        <w:gridCol w:w="10199"/>
      </w:tblGrid>
      <w:tr w:rsidR="00511DAD" w:rsidRPr="00F56506" w14:paraId="7DB00EC5" w14:textId="77777777">
        <w:trPr>
          <w:jc w:val="center"/>
        </w:trPr>
        <w:tc>
          <w:tcPr>
            <w:tcW w:w="10224" w:type="dxa"/>
            <w:tcBorders>
              <w:left w:val="single" w:sz="20" w:space="0" w:color="246A8A"/>
            </w:tcBorders>
            <w:shd w:val="clear" w:color="auto" w:fill="EAF1F5"/>
            <w:tcMar>
              <w:top w:w="190" w:type="dxa"/>
              <w:left w:w="190" w:type="dxa"/>
              <w:bottom w:w="190" w:type="dxa"/>
              <w:right w:w="190" w:type="dxa"/>
            </w:tcMar>
          </w:tcPr>
          <w:p w14:paraId="58954BF1" w14:textId="77777777" w:rsidR="00511DAD" w:rsidRPr="00F56506" w:rsidRDefault="00000000" w:rsidP="00272EEC">
            <w:pPr>
              <w:spacing w:after="0" w:line="240" w:lineRule="auto"/>
            </w:pPr>
            <w:r w:rsidRPr="00F56506">
              <w:rPr>
                <w:b/>
                <w:color w:val="246A8A"/>
                <w:sz w:val="20"/>
              </w:rPr>
              <w:t>POLICY CAUTION</w:t>
            </w:r>
          </w:p>
          <w:p w14:paraId="728F4752" w14:textId="77777777" w:rsidR="00511DAD" w:rsidRPr="00F56506" w:rsidRDefault="00000000" w:rsidP="00272EEC">
            <w:pPr>
              <w:spacing w:after="0" w:line="240" w:lineRule="auto"/>
            </w:pPr>
            <w:r w:rsidRPr="00F56506">
              <w:t>A performance index is valuable only if the underlying data is credible. The first year should include independent methodology review.</w:t>
            </w:r>
          </w:p>
        </w:tc>
      </w:tr>
    </w:tbl>
    <w:p w14:paraId="663390AD" w14:textId="77777777" w:rsidR="00511DAD" w:rsidRPr="00F56506" w:rsidRDefault="00511DAD" w:rsidP="00272EEC">
      <w:pPr>
        <w:spacing w:after="0" w:line="240" w:lineRule="auto"/>
      </w:pPr>
    </w:p>
    <w:p w14:paraId="63423974" w14:textId="77777777" w:rsidR="00511DAD" w:rsidRPr="00F56506" w:rsidRDefault="00000000" w:rsidP="00272EEC">
      <w:pPr>
        <w:spacing w:after="0" w:line="240" w:lineRule="auto"/>
      </w:pPr>
      <w:r w:rsidRPr="00F56506">
        <w:br w:type="page"/>
      </w:r>
    </w:p>
    <w:p w14:paraId="7EA2F399" w14:textId="77777777" w:rsidR="00511DAD" w:rsidRPr="00F56506" w:rsidRDefault="00000000" w:rsidP="00272EEC">
      <w:pPr>
        <w:spacing w:after="0" w:line="240" w:lineRule="auto"/>
      </w:pPr>
      <w:r w:rsidRPr="00F56506">
        <w:rPr>
          <w:b/>
          <w:color w:val="2A9D8F"/>
          <w:sz w:val="18"/>
        </w:rPr>
        <w:lastRenderedPageBreak/>
        <w:t>SECTION 09</w:t>
      </w:r>
    </w:p>
    <w:p w14:paraId="4C683A54" w14:textId="3A24B660" w:rsidR="00511DAD" w:rsidRPr="00F56506" w:rsidRDefault="00000000" w:rsidP="00272EEC">
      <w:pPr>
        <w:pStyle w:val="Heading1"/>
        <w:pBdr>
          <w:bottom w:val="single" w:sz="14" w:space="6" w:color="18324A"/>
        </w:pBdr>
        <w:spacing w:line="240" w:lineRule="auto"/>
        <w:rPr>
          <w:rFonts w:ascii="Aptos" w:hAnsi="Aptos"/>
        </w:rPr>
      </w:pPr>
      <w:r w:rsidRPr="00F56506">
        <w:rPr>
          <w:rFonts w:ascii="Aptos" w:hAnsi="Aptos"/>
        </w:rPr>
        <w:t>Reform Architecture</w:t>
      </w:r>
    </w:p>
    <w:p w14:paraId="55928B32" w14:textId="2D7553E6" w:rsidR="00511DAD" w:rsidRPr="00F56506" w:rsidRDefault="00000000" w:rsidP="00272EEC">
      <w:pPr>
        <w:spacing w:after="0" w:line="240" w:lineRule="auto"/>
      </w:pPr>
      <w:r w:rsidRPr="00F56506">
        <w:rPr>
          <w:color w:val="5D6872"/>
          <w:sz w:val="22"/>
        </w:rPr>
        <w:t>.</w:t>
      </w:r>
    </w:p>
    <w:p w14:paraId="71F2DF78" w14:textId="77777777" w:rsidR="00511DAD" w:rsidRPr="00F56506" w:rsidRDefault="00000000" w:rsidP="00272EEC">
      <w:pPr>
        <w:pStyle w:val="Heading2"/>
        <w:spacing w:line="240" w:lineRule="auto"/>
        <w:rPr>
          <w:rFonts w:ascii="Aptos" w:hAnsi="Aptos"/>
        </w:rPr>
      </w:pPr>
      <w:r w:rsidRPr="00F56506">
        <w:rPr>
          <w:rFonts w:ascii="Aptos" w:hAnsi="Aptos"/>
        </w:rPr>
        <w:t>1. Citywide TIF Portfolio Governance</w:t>
      </w:r>
    </w:p>
    <w:p w14:paraId="0D73E46D" w14:textId="77777777" w:rsidR="00511DAD" w:rsidRPr="00F56506" w:rsidRDefault="00000000" w:rsidP="00272EEC">
      <w:pPr>
        <w:keepLines/>
        <w:spacing w:after="0" w:line="240" w:lineRule="auto"/>
      </w:pPr>
      <w:r w:rsidRPr="00F56506">
        <w:t>Create an annual portfolio plan covering district tiers, major commitments, portability, surplus actions, and closures.</w:t>
      </w:r>
    </w:p>
    <w:p w14:paraId="320ED761" w14:textId="77777777" w:rsidR="00511DAD" w:rsidRPr="00F56506" w:rsidRDefault="00000000" w:rsidP="00272EEC">
      <w:pPr>
        <w:pStyle w:val="Heading2"/>
        <w:spacing w:line="240" w:lineRule="auto"/>
        <w:rPr>
          <w:rFonts w:ascii="Aptos" w:hAnsi="Aptos"/>
        </w:rPr>
      </w:pPr>
      <w:r w:rsidRPr="00F56506">
        <w:rPr>
          <w:rFonts w:ascii="Aptos" w:hAnsi="Aptos"/>
        </w:rPr>
        <w:t>2. Uniform Approval Standards</w:t>
      </w:r>
    </w:p>
    <w:p w14:paraId="7E697D66" w14:textId="77777777" w:rsidR="00511DAD" w:rsidRPr="00F56506" w:rsidRDefault="00000000" w:rsidP="00272EEC">
      <w:pPr>
        <w:keepLines/>
        <w:spacing w:after="0" w:line="240" w:lineRule="auto"/>
      </w:pPr>
      <w:r w:rsidRPr="00F56506">
        <w:t>Adopt a common decision memorandum for new districts, amendments, project approvals, and extensions.</w:t>
      </w:r>
    </w:p>
    <w:p w14:paraId="2FFCB81A" w14:textId="77777777" w:rsidR="00511DAD" w:rsidRPr="00F56506" w:rsidRDefault="00000000" w:rsidP="00272EEC">
      <w:pPr>
        <w:pStyle w:val="Heading2"/>
        <w:spacing w:line="240" w:lineRule="auto"/>
        <w:rPr>
          <w:rFonts w:ascii="Aptos" w:hAnsi="Aptos"/>
        </w:rPr>
      </w:pPr>
      <w:r w:rsidRPr="00F56506">
        <w:rPr>
          <w:rFonts w:ascii="Aptos" w:hAnsi="Aptos"/>
        </w:rPr>
        <w:t>3. Responsible Portability Rules</w:t>
      </w:r>
    </w:p>
    <w:p w14:paraId="0D2F95A4" w14:textId="77777777" w:rsidR="00511DAD" w:rsidRPr="00F56506" w:rsidRDefault="00000000" w:rsidP="00272EEC">
      <w:pPr>
        <w:keepLines/>
        <w:spacing w:after="0" w:line="240" w:lineRule="auto"/>
      </w:pPr>
      <w:r w:rsidRPr="00F56506">
        <w:t>Require a redevelopment nexus, source-capacity test, receiving-need test, and public fiscal statement.</w:t>
      </w:r>
    </w:p>
    <w:p w14:paraId="758C6009" w14:textId="77777777" w:rsidR="00511DAD" w:rsidRPr="00F56506" w:rsidRDefault="00000000" w:rsidP="00272EEC">
      <w:pPr>
        <w:pStyle w:val="Heading2"/>
        <w:spacing w:line="240" w:lineRule="auto"/>
        <w:rPr>
          <w:rFonts w:ascii="Aptos" w:hAnsi="Aptos"/>
        </w:rPr>
      </w:pPr>
      <w:r w:rsidRPr="00F56506">
        <w:rPr>
          <w:rFonts w:ascii="Aptos" w:hAnsi="Aptos"/>
        </w:rPr>
        <w:t>4. Financial Transparency Standard</w:t>
      </w:r>
    </w:p>
    <w:p w14:paraId="254D2099" w14:textId="77777777" w:rsidR="00511DAD" w:rsidRPr="00F56506" w:rsidRDefault="00000000" w:rsidP="00272EEC">
      <w:pPr>
        <w:keepLines/>
        <w:spacing w:after="0" w:line="240" w:lineRule="auto"/>
      </w:pPr>
      <w:r w:rsidRPr="00F56506">
        <w:t>Publish balances, binding obligations, planned commitments, uncommitted amounts, transfers, and reconciliations.</w:t>
      </w:r>
    </w:p>
    <w:p w14:paraId="1AE853A4" w14:textId="77777777" w:rsidR="00511DAD" w:rsidRPr="00F56506" w:rsidRDefault="00000000" w:rsidP="00272EEC">
      <w:pPr>
        <w:pStyle w:val="Heading2"/>
        <w:spacing w:line="240" w:lineRule="auto"/>
        <w:rPr>
          <w:rFonts w:ascii="Aptos" w:hAnsi="Aptos"/>
        </w:rPr>
      </w:pPr>
      <w:r w:rsidRPr="00F56506">
        <w:rPr>
          <w:rFonts w:ascii="Aptos" w:hAnsi="Aptos"/>
        </w:rPr>
        <w:t>5. Performance and Maturity Reviews</w:t>
      </w:r>
    </w:p>
    <w:p w14:paraId="5DDD8E0C" w14:textId="77777777" w:rsidR="00511DAD" w:rsidRPr="00F56506" w:rsidRDefault="00000000" w:rsidP="00272EEC">
      <w:pPr>
        <w:keepLines/>
        <w:spacing w:after="0" w:line="240" w:lineRule="auto"/>
      </w:pPr>
      <w:r w:rsidRPr="00F56506">
        <w:t>Use annual scorecards, midpoint audits, and scheduled maturity decisions.</w:t>
      </w:r>
    </w:p>
    <w:p w14:paraId="179F498A" w14:textId="77777777" w:rsidR="00511DAD" w:rsidRPr="00F56506" w:rsidRDefault="00000000" w:rsidP="00272EEC">
      <w:pPr>
        <w:pStyle w:val="Heading2"/>
        <w:spacing w:line="240" w:lineRule="auto"/>
        <w:rPr>
          <w:rFonts w:ascii="Aptos" w:hAnsi="Aptos"/>
        </w:rPr>
      </w:pPr>
      <w:r w:rsidRPr="00F56506">
        <w:rPr>
          <w:rFonts w:ascii="Aptos" w:hAnsi="Aptos"/>
        </w:rPr>
        <w:t>6. Surplus and Close-Out Discipline</w:t>
      </w:r>
    </w:p>
    <w:p w14:paraId="54D4EB2E" w14:textId="77777777" w:rsidR="00511DAD" w:rsidRPr="00F56506" w:rsidRDefault="00000000" w:rsidP="00272EEC">
      <w:pPr>
        <w:keepLines/>
        <w:spacing w:after="0" w:line="240" w:lineRule="auto"/>
      </w:pPr>
      <w:r w:rsidRPr="00F56506">
        <w:t>Establish default surplus tests and close-out plans for mature districts.</w:t>
      </w:r>
    </w:p>
    <w:p w14:paraId="074F1875" w14:textId="77777777" w:rsidR="00511DAD" w:rsidRPr="00F56506" w:rsidRDefault="00000000" w:rsidP="00272EEC">
      <w:pPr>
        <w:pStyle w:val="Heading2"/>
        <w:spacing w:line="240" w:lineRule="auto"/>
        <w:rPr>
          <w:rFonts w:ascii="Aptos" w:hAnsi="Aptos"/>
        </w:rPr>
      </w:pPr>
      <w:r w:rsidRPr="00F56506">
        <w:rPr>
          <w:rFonts w:ascii="Aptos" w:hAnsi="Aptos"/>
        </w:rPr>
        <w:t>7. Public Accountability Infrastructure</w:t>
      </w:r>
    </w:p>
    <w:p w14:paraId="006A04B1" w14:textId="77777777" w:rsidR="00511DAD" w:rsidRDefault="00000000" w:rsidP="00272EEC">
      <w:pPr>
        <w:keepLines/>
        <w:spacing w:after="0" w:line="240" w:lineRule="auto"/>
      </w:pPr>
      <w:r w:rsidRPr="00F56506">
        <w:t>Build a searchable dashboard, downloadable data, change logs, and plain-language reports.</w:t>
      </w:r>
    </w:p>
    <w:p w14:paraId="30054EC1" w14:textId="77777777" w:rsidR="00C67C17" w:rsidRPr="00F56506" w:rsidRDefault="00C67C17" w:rsidP="00272EEC">
      <w:pPr>
        <w:keepLines/>
        <w:spacing w:after="0" w:line="240" w:lineRule="auto"/>
      </w:pPr>
    </w:p>
    <w:tbl>
      <w:tblPr>
        <w:tblW w:w="0" w:type="auto"/>
        <w:jc w:val="center"/>
        <w:tblLook w:val="04A0" w:firstRow="1" w:lastRow="0" w:firstColumn="1" w:lastColumn="0" w:noHBand="0" w:noVBand="1"/>
      </w:tblPr>
      <w:tblGrid>
        <w:gridCol w:w="10199"/>
      </w:tblGrid>
      <w:tr w:rsidR="00511DAD" w:rsidRPr="00F56506" w14:paraId="5A36031B" w14:textId="77777777">
        <w:trPr>
          <w:jc w:val="center"/>
        </w:trPr>
        <w:tc>
          <w:tcPr>
            <w:tcW w:w="10224" w:type="dxa"/>
            <w:tcBorders>
              <w:left w:val="single" w:sz="20" w:space="0" w:color="246A8A"/>
            </w:tcBorders>
            <w:shd w:val="clear" w:color="auto" w:fill="EAF1F5"/>
            <w:tcMar>
              <w:top w:w="190" w:type="dxa"/>
              <w:left w:w="190" w:type="dxa"/>
              <w:bottom w:w="190" w:type="dxa"/>
              <w:right w:w="190" w:type="dxa"/>
            </w:tcMar>
          </w:tcPr>
          <w:p w14:paraId="7E42B903" w14:textId="1C0A2BD7" w:rsidR="00511DAD" w:rsidRPr="00F56506" w:rsidRDefault="00000000" w:rsidP="00272EEC">
            <w:pPr>
              <w:spacing w:after="0" w:line="240" w:lineRule="auto"/>
            </w:pPr>
            <w:r w:rsidRPr="00F56506">
              <w:rPr>
                <w:b/>
                <w:color w:val="246A8A"/>
                <w:sz w:val="20"/>
              </w:rPr>
              <w:t xml:space="preserve">WHAT WE RECOMMEND </w:t>
            </w:r>
            <w:r w:rsidR="00882491">
              <w:rPr>
                <w:b/>
                <w:color w:val="246A8A"/>
                <w:sz w:val="20"/>
              </w:rPr>
              <w:t>–</w:t>
            </w:r>
            <w:r w:rsidRPr="00F56506">
              <w:rPr>
                <w:b/>
                <w:color w:val="246A8A"/>
                <w:sz w:val="20"/>
              </w:rPr>
              <w:t xml:space="preserve"> POLICY</w:t>
            </w:r>
          </w:p>
          <w:p w14:paraId="60C0A991" w14:textId="77777777" w:rsidR="00511DAD" w:rsidRPr="00F56506" w:rsidRDefault="00000000" w:rsidP="00272EEC">
            <w:pPr>
              <w:spacing w:after="0" w:line="240" w:lineRule="auto"/>
            </w:pPr>
            <w:r w:rsidRPr="00F56506">
              <w:t>Replace project-by-project rulemaking with a permanent framework. Keep TIF for legitimate redevelopment while requiring consistent criteria, measurable outcomes, transparent data, and disciplined maturity decisions.</w:t>
            </w:r>
          </w:p>
        </w:tc>
      </w:tr>
    </w:tbl>
    <w:p w14:paraId="6521FE12" w14:textId="77777777" w:rsidR="00511DAD" w:rsidRPr="00F56506" w:rsidRDefault="00511DAD" w:rsidP="00272EEC">
      <w:pPr>
        <w:spacing w:after="0" w:line="240" w:lineRule="auto"/>
      </w:pPr>
    </w:p>
    <w:p w14:paraId="641CDB84" w14:textId="77777777" w:rsidR="00511DAD" w:rsidRPr="00F56506" w:rsidRDefault="00000000" w:rsidP="00272EEC">
      <w:pPr>
        <w:spacing w:after="0" w:line="240" w:lineRule="auto"/>
      </w:pPr>
      <w:r w:rsidRPr="00F56506">
        <w:br w:type="page"/>
      </w:r>
    </w:p>
    <w:p w14:paraId="421E5522" w14:textId="77777777" w:rsidR="00511DAD" w:rsidRPr="00F56506" w:rsidRDefault="00000000" w:rsidP="00272EEC">
      <w:pPr>
        <w:spacing w:after="0" w:line="240" w:lineRule="auto"/>
      </w:pPr>
      <w:r w:rsidRPr="00F56506">
        <w:rPr>
          <w:b/>
          <w:color w:val="2A9D8F"/>
          <w:sz w:val="18"/>
        </w:rPr>
        <w:lastRenderedPageBreak/>
        <w:t>SECTION 10</w:t>
      </w:r>
    </w:p>
    <w:p w14:paraId="20B4CEB2" w14:textId="77777777" w:rsidR="00511DAD" w:rsidRPr="00F56506" w:rsidRDefault="00000000" w:rsidP="00272EEC">
      <w:pPr>
        <w:pStyle w:val="Heading1"/>
        <w:pBdr>
          <w:bottom w:val="single" w:sz="14" w:space="6" w:color="18324A"/>
        </w:pBdr>
        <w:spacing w:line="240" w:lineRule="auto"/>
        <w:rPr>
          <w:rFonts w:ascii="Aptos" w:hAnsi="Aptos"/>
        </w:rPr>
      </w:pPr>
      <w:r w:rsidRPr="00F56506">
        <w:rPr>
          <w:rFonts w:ascii="Aptos" w:hAnsi="Aptos"/>
        </w:rPr>
        <w:t>Portability Reform</w:t>
      </w:r>
    </w:p>
    <w:p w14:paraId="4B0BDE16" w14:textId="77777777" w:rsidR="00E5558A" w:rsidRDefault="00E5558A" w:rsidP="00E5558A">
      <w:pPr>
        <w:spacing w:after="0" w:line="240" w:lineRule="auto"/>
        <w:rPr>
          <w:color w:val="5D6872"/>
          <w:szCs w:val="19"/>
        </w:rPr>
      </w:pPr>
    </w:p>
    <w:p w14:paraId="31C7B9E8" w14:textId="1F4BA4BD" w:rsidR="00511DAD" w:rsidRDefault="00000000" w:rsidP="00E5558A">
      <w:pPr>
        <w:spacing w:after="0" w:line="240" w:lineRule="auto"/>
      </w:pPr>
      <w:r w:rsidRPr="00E5558A">
        <w:rPr>
          <w:color w:val="5D6872"/>
          <w:szCs w:val="19"/>
        </w:rPr>
        <w:t xml:space="preserve">Allow </w:t>
      </w:r>
      <w:r w:rsidR="00E5558A">
        <w:rPr>
          <w:color w:val="5D6872"/>
          <w:szCs w:val="19"/>
        </w:rPr>
        <w:t xml:space="preserve">portability </w:t>
      </w:r>
      <w:r w:rsidRPr="00E5558A">
        <w:rPr>
          <w:color w:val="5D6872"/>
          <w:szCs w:val="19"/>
        </w:rPr>
        <w:t>flexibility only where the redevelopment case is clear and safeguards are visible.</w:t>
      </w:r>
      <w:r w:rsidR="00E5558A">
        <w:t xml:space="preserve"> </w:t>
      </w:r>
      <w:r w:rsidRPr="00F56506">
        <w:t>Portability can be legitimate when projects and districts share a meaningful redevelopment relationship. The objective is not a categorical ban. It is a consistent test preventing portability from becoming an open-ended workaround.</w:t>
      </w:r>
    </w:p>
    <w:p w14:paraId="7FA94F91" w14:textId="77777777" w:rsidR="00E5558A" w:rsidRPr="00F56506" w:rsidRDefault="00E5558A" w:rsidP="00E5558A">
      <w:pPr>
        <w:spacing w:after="0" w:line="240" w:lineRule="auto"/>
      </w:pPr>
    </w:p>
    <w:tbl>
      <w:tblPr>
        <w:tblStyle w:val="TableGrid"/>
        <w:tblW w:w="0" w:type="auto"/>
        <w:jc w:val="center"/>
        <w:tblLook w:val="04A0" w:firstRow="1" w:lastRow="0" w:firstColumn="1" w:lastColumn="0" w:noHBand="0" w:noVBand="1"/>
      </w:tblPr>
      <w:tblGrid>
        <w:gridCol w:w="5107"/>
        <w:gridCol w:w="5107"/>
      </w:tblGrid>
      <w:tr w:rsidR="00511DAD" w:rsidRPr="00F56506" w14:paraId="7431C6FB" w14:textId="77777777">
        <w:trPr>
          <w:jc w:val="center"/>
        </w:trPr>
        <w:tc>
          <w:tcPr>
            <w:tcW w:w="5112" w:type="dxa"/>
            <w:shd w:val="clear" w:color="auto" w:fill="18324A"/>
            <w:tcMar>
              <w:top w:w="130" w:type="dxa"/>
              <w:left w:w="130" w:type="dxa"/>
              <w:bottom w:w="130" w:type="dxa"/>
              <w:right w:w="130" w:type="dxa"/>
            </w:tcMar>
          </w:tcPr>
          <w:p w14:paraId="5633D764" w14:textId="77777777" w:rsidR="00511DAD" w:rsidRPr="00F56506" w:rsidRDefault="00000000" w:rsidP="00272EEC">
            <w:pPr>
              <w:spacing w:after="0" w:line="240" w:lineRule="auto"/>
            </w:pPr>
            <w:r w:rsidRPr="00F56506">
              <w:rPr>
                <w:b/>
                <w:color w:val="FFFFFF"/>
                <w:sz w:val="18"/>
              </w:rPr>
              <w:t>Required test</w:t>
            </w:r>
          </w:p>
        </w:tc>
        <w:tc>
          <w:tcPr>
            <w:tcW w:w="5112" w:type="dxa"/>
            <w:shd w:val="clear" w:color="auto" w:fill="18324A"/>
            <w:tcMar>
              <w:top w:w="130" w:type="dxa"/>
              <w:left w:w="130" w:type="dxa"/>
              <w:bottom w:w="130" w:type="dxa"/>
              <w:right w:w="130" w:type="dxa"/>
            </w:tcMar>
          </w:tcPr>
          <w:p w14:paraId="1DDAF690" w14:textId="77777777" w:rsidR="00511DAD" w:rsidRPr="00F56506" w:rsidRDefault="00000000" w:rsidP="00272EEC">
            <w:pPr>
              <w:spacing w:after="0" w:line="240" w:lineRule="auto"/>
            </w:pPr>
            <w:r w:rsidRPr="00F56506">
              <w:rPr>
                <w:b/>
                <w:color w:val="FFFFFF"/>
                <w:sz w:val="18"/>
              </w:rPr>
              <w:t>Minimum public showing</w:t>
            </w:r>
          </w:p>
        </w:tc>
      </w:tr>
      <w:tr w:rsidR="00511DAD" w:rsidRPr="00F56506" w14:paraId="373AF23E" w14:textId="77777777">
        <w:trPr>
          <w:jc w:val="center"/>
        </w:trPr>
        <w:tc>
          <w:tcPr>
            <w:tcW w:w="5112" w:type="dxa"/>
            <w:shd w:val="clear" w:color="auto" w:fill="FFFFFF"/>
            <w:tcMar>
              <w:top w:w="130" w:type="dxa"/>
              <w:left w:w="130" w:type="dxa"/>
              <w:bottom w:w="130" w:type="dxa"/>
              <w:right w:w="130" w:type="dxa"/>
            </w:tcMar>
          </w:tcPr>
          <w:p w14:paraId="34AB6EC4" w14:textId="77777777" w:rsidR="00511DAD" w:rsidRPr="00F56506" w:rsidRDefault="00000000" w:rsidP="00272EEC">
            <w:pPr>
              <w:spacing w:after="0" w:line="240" w:lineRule="auto"/>
            </w:pPr>
            <w:r w:rsidRPr="00F56506">
              <w:rPr>
                <w:sz w:val="17"/>
              </w:rPr>
              <w:t>Redevelopment nexus</w:t>
            </w:r>
          </w:p>
        </w:tc>
        <w:tc>
          <w:tcPr>
            <w:tcW w:w="5112" w:type="dxa"/>
            <w:shd w:val="clear" w:color="auto" w:fill="FFFFFF"/>
            <w:tcMar>
              <w:top w:w="130" w:type="dxa"/>
              <w:left w:w="130" w:type="dxa"/>
              <w:bottom w:w="130" w:type="dxa"/>
              <w:right w:w="130" w:type="dxa"/>
            </w:tcMar>
          </w:tcPr>
          <w:p w14:paraId="2FC5181E" w14:textId="77777777" w:rsidR="00511DAD" w:rsidRPr="00F56506" w:rsidRDefault="00000000" w:rsidP="00272EEC">
            <w:pPr>
              <w:spacing w:after="0" w:line="240" w:lineRule="auto"/>
            </w:pPr>
            <w:r w:rsidRPr="00F56506">
              <w:rPr>
                <w:sz w:val="17"/>
              </w:rPr>
              <w:t>Explain the geographic, infrastructure, market, or project relationship.</w:t>
            </w:r>
          </w:p>
        </w:tc>
      </w:tr>
      <w:tr w:rsidR="00511DAD" w:rsidRPr="00F56506" w14:paraId="78DBB4C3" w14:textId="77777777">
        <w:trPr>
          <w:jc w:val="center"/>
        </w:trPr>
        <w:tc>
          <w:tcPr>
            <w:tcW w:w="5112" w:type="dxa"/>
            <w:shd w:val="clear" w:color="auto" w:fill="F5F8FA"/>
            <w:tcMar>
              <w:top w:w="130" w:type="dxa"/>
              <w:left w:w="130" w:type="dxa"/>
              <w:bottom w:w="130" w:type="dxa"/>
              <w:right w:w="130" w:type="dxa"/>
            </w:tcMar>
          </w:tcPr>
          <w:p w14:paraId="6B6C08F7" w14:textId="77777777" w:rsidR="00511DAD" w:rsidRPr="00F56506" w:rsidRDefault="00000000" w:rsidP="00272EEC">
            <w:pPr>
              <w:spacing w:after="0" w:line="240" w:lineRule="auto"/>
            </w:pPr>
            <w:r w:rsidRPr="00F56506">
              <w:rPr>
                <w:sz w:val="17"/>
              </w:rPr>
              <w:t>Source capacity</w:t>
            </w:r>
          </w:p>
        </w:tc>
        <w:tc>
          <w:tcPr>
            <w:tcW w:w="5112" w:type="dxa"/>
            <w:shd w:val="clear" w:color="auto" w:fill="F5F8FA"/>
            <w:tcMar>
              <w:top w:w="130" w:type="dxa"/>
              <w:left w:w="130" w:type="dxa"/>
              <w:bottom w:w="130" w:type="dxa"/>
              <w:right w:w="130" w:type="dxa"/>
            </w:tcMar>
          </w:tcPr>
          <w:p w14:paraId="2AA0E0C5" w14:textId="77777777" w:rsidR="00511DAD" w:rsidRPr="00F56506" w:rsidRDefault="00000000" w:rsidP="00272EEC">
            <w:pPr>
              <w:spacing w:after="0" w:line="240" w:lineRule="auto"/>
            </w:pPr>
            <w:r w:rsidRPr="00F56506">
              <w:rPr>
                <w:sz w:val="17"/>
              </w:rPr>
              <w:t>Show binding source-district obligations remain fully funded.</w:t>
            </w:r>
          </w:p>
        </w:tc>
      </w:tr>
      <w:tr w:rsidR="00511DAD" w:rsidRPr="00F56506" w14:paraId="2E64BBD7" w14:textId="77777777">
        <w:trPr>
          <w:jc w:val="center"/>
        </w:trPr>
        <w:tc>
          <w:tcPr>
            <w:tcW w:w="5112" w:type="dxa"/>
            <w:shd w:val="clear" w:color="auto" w:fill="FFFFFF"/>
            <w:tcMar>
              <w:top w:w="130" w:type="dxa"/>
              <w:left w:w="130" w:type="dxa"/>
              <w:bottom w:w="130" w:type="dxa"/>
              <w:right w:w="130" w:type="dxa"/>
            </w:tcMar>
          </w:tcPr>
          <w:p w14:paraId="1FB29CD2" w14:textId="77777777" w:rsidR="00511DAD" w:rsidRPr="00F56506" w:rsidRDefault="00000000" w:rsidP="00272EEC">
            <w:pPr>
              <w:spacing w:after="0" w:line="240" w:lineRule="auto"/>
            </w:pPr>
            <w:r w:rsidRPr="00F56506">
              <w:rPr>
                <w:sz w:val="17"/>
              </w:rPr>
              <w:t>Receiving need</w:t>
            </w:r>
          </w:p>
        </w:tc>
        <w:tc>
          <w:tcPr>
            <w:tcW w:w="5112" w:type="dxa"/>
            <w:shd w:val="clear" w:color="auto" w:fill="FFFFFF"/>
            <w:tcMar>
              <w:top w:w="130" w:type="dxa"/>
              <w:left w:w="130" w:type="dxa"/>
              <w:bottom w:w="130" w:type="dxa"/>
              <w:right w:w="130" w:type="dxa"/>
            </w:tcMar>
          </w:tcPr>
          <w:p w14:paraId="2236E10F" w14:textId="77777777" w:rsidR="00511DAD" w:rsidRPr="00F56506" w:rsidRDefault="00000000" w:rsidP="00272EEC">
            <w:pPr>
              <w:spacing w:after="0" w:line="240" w:lineRule="auto"/>
            </w:pPr>
            <w:r w:rsidRPr="00F56506">
              <w:rPr>
                <w:sz w:val="17"/>
              </w:rPr>
              <w:t>Demonstrate eligible need and project readiness.</w:t>
            </w:r>
          </w:p>
        </w:tc>
      </w:tr>
      <w:tr w:rsidR="00511DAD" w:rsidRPr="00F56506" w14:paraId="1052A379" w14:textId="77777777">
        <w:trPr>
          <w:jc w:val="center"/>
        </w:trPr>
        <w:tc>
          <w:tcPr>
            <w:tcW w:w="5112" w:type="dxa"/>
            <w:shd w:val="clear" w:color="auto" w:fill="F5F8FA"/>
            <w:tcMar>
              <w:top w:w="130" w:type="dxa"/>
              <w:left w:w="130" w:type="dxa"/>
              <w:bottom w:w="130" w:type="dxa"/>
              <w:right w:w="130" w:type="dxa"/>
            </w:tcMar>
          </w:tcPr>
          <w:p w14:paraId="6986F434" w14:textId="77777777" w:rsidR="00511DAD" w:rsidRPr="00F56506" w:rsidRDefault="00000000" w:rsidP="00272EEC">
            <w:pPr>
              <w:spacing w:after="0" w:line="240" w:lineRule="auto"/>
            </w:pPr>
            <w:r w:rsidRPr="00F56506">
              <w:rPr>
                <w:sz w:val="17"/>
              </w:rPr>
              <w:t>Incremental benefit</w:t>
            </w:r>
          </w:p>
        </w:tc>
        <w:tc>
          <w:tcPr>
            <w:tcW w:w="5112" w:type="dxa"/>
            <w:shd w:val="clear" w:color="auto" w:fill="F5F8FA"/>
            <w:tcMar>
              <w:top w:w="130" w:type="dxa"/>
              <w:left w:w="130" w:type="dxa"/>
              <w:bottom w:w="130" w:type="dxa"/>
              <w:right w:w="130" w:type="dxa"/>
            </w:tcMar>
          </w:tcPr>
          <w:p w14:paraId="79536B91" w14:textId="77777777" w:rsidR="00511DAD" w:rsidRPr="00F56506" w:rsidRDefault="00000000" w:rsidP="00272EEC">
            <w:pPr>
              <w:spacing w:after="0" w:line="240" w:lineRule="auto"/>
            </w:pPr>
            <w:r w:rsidRPr="00F56506">
              <w:rPr>
                <w:sz w:val="17"/>
              </w:rPr>
              <w:t>State the measurable outcome expected.</w:t>
            </w:r>
          </w:p>
        </w:tc>
      </w:tr>
      <w:tr w:rsidR="00511DAD" w:rsidRPr="00F56506" w14:paraId="24E388D7" w14:textId="77777777">
        <w:trPr>
          <w:jc w:val="center"/>
        </w:trPr>
        <w:tc>
          <w:tcPr>
            <w:tcW w:w="5112" w:type="dxa"/>
            <w:shd w:val="clear" w:color="auto" w:fill="FFFFFF"/>
            <w:tcMar>
              <w:top w:w="130" w:type="dxa"/>
              <w:left w:w="130" w:type="dxa"/>
              <w:bottom w:w="130" w:type="dxa"/>
              <w:right w:w="130" w:type="dxa"/>
            </w:tcMar>
          </w:tcPr>
          <w:p w14:paraId="4D560DEE" w14:textId="77777777" w:rsidR="00511DAD" w:rsidRPr="00F56506" w:rsidRDefault="00000000" w:rsidP="00272EEC">
            <w:pPr>
              <w:spacing w:after="0" w:line="240" w:lineRule="auto"/>
            </w:pPr>
            <w:r w:rsidRPr="00F56506">
              <w:rPr>
                <w:sz w:val="17"/>
              </w:rPr>
              <w:t>Alternative analysis</w:t>
            </w:r>
          </w:p>
        </w:tc>
        <w:tc>
          <w:tcPr>
            <w:tcW w:w="5112" w:type="dxa"/>
            <w:shd w:val="clear" w:color="auto" w:fill="FFFFFF"/>
            <w:tcMar>
              <w:top w:w="130" w:type="dxa"/>
              <w:left w:w="130" w:type="dxa"/>
              <w:bottom w:w="130" w:type="dxa"/>
              <w:right w:w="130" w:type="dxa"/>
            </w:tcMar>
          </w:tcPr>
          <w:p w14:paraId="79614D68" w14:textId="77777777" w:rsidR="00511DAD" w:rsidRPr="00F56506" w:rsidRDefault="00000000" w:rsidP="00272EEC">
            <w:pPr>
              <w:spacing w:after="0" w:line="240" w:lineRule="auto"/>
            </w:pPr>
            <w:r w:rsidRPr="00F56506">
              <w:rPr>
                <w:sz w:val="17"/>
              </w:rPr>
              <w:t>Explain why other capital, debt, grant, or operating sources are not superior.</w:t>
            </w:r>
          </w:p>
        </w:tc>
      </w:tr>
      <w:tr w:rsidR="00511DAD" w:rsidRPr="00F56506" w14:paraId="5FDC9FC9" w14:textId="77777777">
        <w:trPr>
          <w:jc w:val="center"/>
        </w:trPr>
        <w:tc>
          <w:tcPr>
            <w:tcW w:w="5112" w:type="dxa"/>
            <w:shd w:val="clear" w:color="auto" w:fill="F5F8FA"/>
            <w:tcMar>
              <w:top w:w="130" w:type="dxa"/>
              <w:left w:w="130" w:type="dxa"/>
              <w:bottom w:w="130" w:type="dxa"/>
              <w:right w:w="130" w:type="dxa"/>
            </w:tcMar>
          </w:tcPr>
          <w:p w14:paraId="480575E6" w14:textId="77777777" w:rsidR="00511DAD" w:rsidRPr="00F56506" w:rsidRDefault="00000000" w:rsidP="00272EEC">
            <w:pPr>
              <w:spacing w:after="0" w:line="240" w:lineRule="auto"/>
            </w:pPr>
            <w:r w:rsidRPr="00F56506">
              <w:rPr>
                <w:sz w:val="17"/>
              </w:rPr>
              <w:t>Time limit</w:t>
            </w:r>
          </w:p>
        </w:tc>
        <w:tc>
          <w:tcPr>
            <w:tcW w:w="5112" w:type="dxa"/>
            <w:shd w:val="clear" w:color="auto" w:fill="F5F8FA"/>
            <w:tcMar>
              <w:top w:w="130" w:type="dxa"/>
              <w:left w:w="130" w:type="dxa"/>
              <w:bottom w:w="130" w:type="dxa"/>
              <w:right w:w="130" w:type="dxa"/>
            </w:tcMar>
          </w:tcPr>
          <w:p w14:paraId="1488D193" w14:textId="77777777" w:rsidR="00511DAD" w:rsidRPr="00F56506" w:rsidRDefault="00000000" w:rsidP="00272EEC">
            <w:pPr>
              <w:spacing w:after="0" w:line="240" w:lineRule="auto"/>
            </w:pPr>
            <w:r w:rsidRPr="00F56506">
              <w:rPr>
                <w:sz w:val="17"/>
              </w:rPr>
              <w:t>Set an authorization window and return unused funds.</w:t>
            </w:r>
          </w:p>
        </w:tc>
      </w:tr>
      <w:tr w:rsidR="00511DAD" w:rsidRPr="00F56506" w14:paraId="1EE57519" w14:textId="77777777">
        <w:trPr>
          <w:jc w:val="center"/>
        </w:trPr>
        <w:tc>
          <w:tcPr>
            <w:tcW w:w="5112" w:type="dxa"/>
            <w:shd w:val="clear" w:color="auto" w:fill="FFFFFF"/>
            <w:tcMar>
              <w:top w:w="130" w:type="dxa"/>
              <w:left w:w="130" w:type="dxa"/>
              <w:bottom w:w="130" w:type="dxa"/>
              <w:right w:w="130" w:type="dxa"/>
            </w:tcMar>
          </w:tcPr>
          <w:p w14:paraId="2DEAC261" w14:textId="77777777" w:rsidR="00511DAD" w:rsidRPr="00F56506" w:rsidRDefault="00000000" w:rsidP="00272EEC">
            <w:pPr>
              <w:spacing w:after="0" w:line="240" w:lineRule="auto"/>
            </w:pPr>
            <w:r w:rsidRPr="00F56506">
              <w:rPr>
                <w:sz w:val="17"/>
              </w:rPr>
              <w:t>Reporting</w:t>
            </w:r>
          </w:p>
        </w:tc>
        <w:tc>
          <w:tcPr>
            <w:tcW w:w="5112" w:type="dxa"/>
            <w:shd w:val="clear" w:color="auto" w:fill="FFFFFF"/>
            <w:tcMar>
              <w:top w:w="130" w:type="dxa"/>
              <w:left w:w="130" w:type="dxa"/>
              <w:bottom w:w="130" w:type="dxa"/>
              <w:right w:w="130" w:type="dxa"/>
            </w:tcMar>
          </w:tcPr>
          <w:p w14:paraId="222FCD58" w14:textId="77777777" w:rsidR="00511DAD" w:rsidRPr="00F56506" w:rsidRDefault="00000000" w:rsidP="00272EEC">
            <w:pPr>
              <w:spacing w:after="0" w:line="240" w:lineRule="auto"/>
            </w:pPr>
            <w:r w:rsidRPr="00F56506">
              <w:rPr>
                <w:sz w:val="17"/>
              </w:rPr>
              <w:t>Track transfer, expenditure, completion, and outcome separately.</w:t>
            </w:r>
          </w:p>
        </w:tc>
      </w:tr>
    </w:tbl>
    <w:p w14:paraId="63CA0889" w14:textId="77777777" w:rsidR="00511DAD" w:rsidRPr="00F56506" w:rsidRDefault="00511DAD" w:rsidP="00272EEC">
      <w:pPr>
        <w:spacing w:after="0" w:line="240" w:lineRule="auto"/>
      </w:pPr>
    </w:p>
    <w:p w14:paraId="58B66269" w14:textId="77777777" w:rsidR="00511DAD" w:rsidRPr="00F56506" w:rsidRDefault="00000000" w:rsidP="00272EEC">
      <w:pPr>
        <w:pStyle w:val="ListBullet"/>
        <w:spacing w:after="0" w:line="240" w:lineRule="auto"/>
      </w:pPr>
      <w:r w:rsidRPr="00F56506">
        <w:t>Technical certification by finance and planning officials.</w:t>
      </w:r>
    </w:p>
    <w:p w14:paraId="67EA2C89" w14:textId="77777777" w:rsidR="00511DAD" w:rsidRPr="00F56506" w:rsidRDefault="00000000" w:rsidP="00272EEC">
      <w:pPr>
        <w:pStyle w:val="ListBullet"/>
        <w:spacing w:after="0" w:line="240" w:lineRule="auto"/>
      </w:pPr>
      <w:r w:rsidRPr="00F56506">
        <w:t>Public portability memorandum and machine-readable schedule.</w:t>
      </w:r>
    </w:p>
    <w:p w14:paraId="1DBB6E2C" w14:textId="77777777" w:rsidR="00511DAD" w:rsidRPr="00F56506" w:rsidRDefault="00000000" w:rsidP="00272EEC">
      <w:pPr>
        <w:pStyle w:val="ListBullet"/>
        <w:spacing w:after="0" w:line="240" w:lineRule="auto"/>
      </w:pPr>
      <w:r w:rsidRPr="00F56506">
        <w:t>Council review under a uniform standard.</w:t>
      </w:r>
    </w:p>
    <w:p w14:paraId="3A7E3EC3" w14:textId="77777777" w:rsidR="00511DAD" w:rsidRPr="00F56506" w:rsidRDefault="00000000" w:rsidP="00272EEC">
      <w:pPr>
        <w:pStyle w:val="ListBullet"/>
        <w:spacing w:after="0" w:line="240" w:lineRule="auto"/>
      </w:pPr>
      <w:r w:rsidRPr="00F56506">
        <w:t>Post-transfer reporting until completion.</w:t>
      </w:r>
    </w:p>
    <w:p w14:paraId="183AA233" w14:textId="77777777" w:rsidR="00511DAD" w:rsidRPr="00F56506" w:rsidRDefault="00000000" w:rsidP="00272EEC">
      <w:pPr>
        <w:pStyle w:val="ListBullet"/>
        <w:spacing w:after="0" w:line="240" w:lineRule="auto"/>
      </w:pPr>
      <w:r w:rsidRPr="00F56506">
        <w:t>Automatic reversion or surplus treatment for unused amounts.</w:t>
      </w:r>
    </w:p>
    <w:p w14:paraId="0223CE9E" w14:textId="77777777" w:rsidR="00511DAD" w:rsidRPr="00F56506" w:rsidRDefault="00511DAD" w:rsidP="00272EEC">
      <w:pPr>
        <w:spacing w:after="0" w:line="240" w:lineRule="auto"/>
      </w:pPr>
    </w:p>
    <w:p w14:paraId="32BA4736" w14:textId="77777777" w:rsidR="00511DAD" w:rsidRPr="00F56506" w:rsidRDefault="00000000" w:rsidP="00272EEC">
      <w:pPr>
        <w:spacing w:after="0" w:line="240" w:lineRule="auto"/>
      </w:pPr>
      <w:r w:rsidRPr="00F56506">
        <w:br w:type="page"/>
      </w:r>
    </w:p>
    <w:p w14:paraId="2F4AA4DC" w14:textId="77777777" w:rsidR="00511DAD" w:rsidRPr="00F56506" w:rsidRDefault="00000000" w:rsidP="00272EEC">
      <w:pPr>
        <w:spacing w:after="0" w:line="240" w:lineRule="auto"/>
      </w:pPr>
      <w:r w:rsidRPr="00F56506">
        <w:rPr>
          <w:b/>
          <w:color w:val="2A9D8F"/>
          <w:sz w:val="18"/>
        </w:rPr>
        <w:lastRenderedPageBreak/>
        <w:t>SECTION 11</w:t>
      </w:r>
    </w:p>
    <w:p w14:paraId="5DA345EA" w14:textId="51112BCF" w:rsidR="00511DAD" w:rsidRPr="00F56506" w:rsidRDefault="00000000" w:rsidP="00272EEC">
      <w:pPr>
        <w:pStyle w:val="Heading1"/>
        <w:pBdr>
          <w:bottom w:val="single" w:sz="14" w:space="6" w:color="18324A"/>
        </w:pBdr>
        <w:spacing w:line="240" w:lineRule="auto"/>
        <w:rPr>
          <w:rFonts w:ascii="Aptos" w:hAnsi="Aptos"/>
        </w:rPr>
      </w:pPr>
      <w:r w:rsidRPr="00F56506">
        <w:rPr>
          <w:rFonts w:ascii="Aptos" w:hAnsi="Aptos"/>
        </w:rPr>
        <w:t>TIF Transparency Standard</w:t>
      </w:r>
    </w:p>
    <w:p w14:paraId="25D79E73" w14:textId="33FBA24E" w:rsidR="00511DAD" w:rsidRPr="00F56506" w:rsidRDefault="00511DAD" w:rsidP="00272EEC">
      <w:pPr>
        <w:keepLines/>
        <w:spacing w:after="0" w:line="240" w:lineRule="auto"/>
      </w:pPr>
    </w:p>
    <w:tbl>
      <w:tblPr>
        <w:tblStyle w:val="TableGrid"/>
        <w:tblW w:w="0" w:type="auto"/>
        <w:jc w:val="center"/>
        <w:tblLook w:val="04A0" w:firstRow="1" w:lastRow="0" w:firstColumn="1" w:lastColumn="0" w:noHBand="0" w:noVBand="1"/>
      </w:tblPr>
      <w:tblGrid>
        <w:gridCol w:w="5107"/>
        <w:gridCol w:w="5107"/>
      </w:tblGrid>
      <w:tr w:rsidR="00511DAD" w:rsidRPr="00F56506" w14:paraId="08214B4C" w14:textId="77777777">
        <w:trPr>
          <w:jc w:val="center"/>
        </w:trPr>
        <w:tc>
          <w:tcPr>
            <w:tcW w:w="5112" w:type="dxa"/>
            <w:shd w:val="clear" w:color="auto" w:fill="18324A"/>
            <w:tcMar>
              <w:top w:w="130" w:type="dxa"/>
              <w:left w:w="130" w:type="dxa"/>
              <w:bottom w:w="130" w:type="dxa"/>
              <w:right w:w="130" w:type="dxa"/>
            </w:tcMar>
          </w:tcPr>
          <w:p w14:paraId="5BE66A3B" w14:textId="77777777" w:rsidR="00511DAD" w:rsidRPr="00F56506" w:rsidRDefault="00000000" w:rsidP="00272EEC">
            <w:pPr>
              <w:spacing w:after="0" w:line="240" w:lineRule="auto"/>
            </w:pPr>
            <w:r w:rsidRPr="00F56506">
              <w:rPr>
                <w:b/>
                <w:color w:val="FFFFFF"/>
                <w:sz w:val="18"/>
              </w:rPr>
              <w:t>Disclosure field</w:t>
            </w:r>
          </w:p>
        </w:tc>
        <w:tc>
          <w:tcPr>
            <w:tcW w:w="5112" w:type="dxa"/>
            <w:shd w:val="clear" w:color="auto" w:fill="18324A"/>
            <w:tcMar>
              <w:top w:w="130" w:type="dxa"/>
              <w:left w:w="130" w:type="dxa"/>
              <w:bottom w:w="130" w:type="dxa"/>
              <w:right w:w="130" w:type="dxa"/>
            </w:tcMar>
          </w:tcPr>
          <w:p w14:paraId="31864C13" w14:textId="77777777" w:rsidR="00511DAD" w:rsidRPr="00F56506" w:rsidRDefault="00000000" w:rsidP="00272EEC">
            <w:pPr>
              <w:spacing w:after="0" w:line="240" w:lineRule="auto"/>
            </w:pPr>
            <w:r w:rsidRPr="00F56506">
              <w:rPr>
                <w:b/>
                <w:color w:val="FFFFFF"/>
                <w:sz w:val="18"/>
              </w:rPr>
              <w:t>Required content</w:t>
            </w:r>
          </w:p>
        </w:tc>
      </w:tr>
      <w:tr w:rsidR="00511DAD" w:rsidRPr="00F56506" w14:paraId="3B3BCBFC" w14:textId="77777777">
        <w:trPr>
          <w:jc w:val="center"/>
        </w:trPr>
        <w:tc>
          <w:tcPr>
            <w:tcW w:w="5112" w:type="dxa"/>
            <w:shd w:val="clear" w:color="auto" w:fill="FFFFFF"/>
            <w:tcMar>
              <w:top w:w="130" w:type="dxa"/>
              <w:left w:w="130" w:type="dxa"/>
              <w:bottom w:w="130" w:type="dxa"/>
              <w:right w:w="130" w:type="dxa"/>
            </w:tcMar>
          </w:tcPr>
          <w:p w14:paraId="005266A6" w14:textId="77777777" w:rsidR="00511DAD" w:rsidRPr="00F56506" w:rsidRDefault="00000000" w:rsidP="00272EEC">
            <w:pPr>
              <w:spacing w:after="0" w:line="240" w:lineRule="auto"/>
            </w:pPr>
            <w:r w:rsidRPr="00F56506">
              <w:rPr>
                <w:sz w:val="17"/>
              </w:rPr>
              <w:t>District profile</w:t>
            </w:r>
          </w:p>
        </w:tc>
        <w:tc>
          <w:tcPr>
            <w:tcW w:w="5112" w:type="dxa"/>
            <w:shd w:val="clear" w:color="auto" w:fill="FFFFFF"/>
            <w:tcMar>
              <w:top w:w="130" w:type="dxa"/>
              <w:left w:w="130" w:type="dxa"/>
              <w:bottom w:w="130" w:type="dxa"/>
              <w:right w:w="130" w:type="dxa"/>
            </w:tcMar>
          </w:tcPr>
          <w:p w14:paraId="74389F15" w14:textId="77777777" w:rsidR="00511DAD" w:rsidRPr="00F56506" w:rsidRDefault="00000000" w:rsidP="00272EEC">
            <w:pPr>
              <w:spacing w:after="0" w:line="240" w:lineRule="auto"/>
            </w:pPr>
            <w:r w:rsidRPr="00F56506">
              <w:rPr>
                <w:sz w:val="17"/>
              </w:rPr>
              <w:t>Creation/expiration, geography, purpose, base and current EAV.</w:t>
            </w:r>
          </w:p>
        </w:tc>
      </w:tr>
      <w:tr w:rsidR="00511DAD" w:rsidRPr="00F56506" w14:paraId="6ED8FCB4" w14:textId="77777777">
        <w:trPr>
          <w:jc w:val="center"/>
        </w:trPr>
        <w:tc>
          <w:tcPr>
            <w:tcW w:w="5112" w:type="dxa"/>
            <w:shd w:val="clear" w:color="auto" w:fill="F5F8FA"/>
            <w:tcMar>
              <w:top w:w="130" w:type="dxa"/>
              <w:left w:w="130" w:type="dxa"/>
              <w:bottom w:w="130" w:type="dxa"/>
              <w:right w:w="130" w:type="dxa"/>
            </w:tcMar>
          </w:tcPr>
          <w:p w14:paraId="000D653B" w14:textId="77777777" w:rsidR="00511DAD" w:rsidRPr="00F56506" w:rsidRDefault="00000000" w:rsidP="00272EEC">
            <w:pPr>
              <w:spacing w:after="0" w:line="240" w:lineRule="auto"/>
            </w:pPr>
            <w:r w:rsidRPr="00F56506">
              <w:rPr>
                <w:sz w:val="17"/>
              </w:rPr>
              <w:t>Financial position</w:t>
            </w:r>
          </w:p>
        </w:tc>
        <w:tc>
          <w:tcPr>
            <w:tcW w:w="5112" w:type="dxa"/>
            <w:shd w:val="clear" w:color="auto" w:fill="F5F8FA"/>
            <w:tcMar>
              <w:top w:w="130" w:type="dxa"/>
              <w:left w:w="130" w:type="dxa"/>
              <w:bottom w:w="130" w:type="dxa"/>
              <w:right w:w="130" w:type="dxa"/>
            </w:tcMar>
          </w:tcPr>
          <w:p w14:paraId="1CF14461" w14:textId="77777777" w:rsidR="00511DAD" w:rsidRPr="00F56506" w:rsidRDefault="00000000" w:rsidP="00272EEC">
            <w:pPr>
              <w:spacing w:after="0" w:line="240" w:lineRule="auto"/>
            </w:pPr>
            <w:r w:rsidRPr="00F56506">
              <w:rPr>
                <w:sz w:val="17"/>
              </w:rPr>
              <w:t>Beginning balance, revenue, expenditures, transfers, ending balance.</w:t>
            </w:r>
          </w:p>
        </w:tc>
      </w:tr>
      <w:tr w:rsidR="00511DAD" w:rsidRPr="00F56506" w14:paraId="6D0F4FB7" w14:textId="77777777">
        <w:trPr>
          <w:jc w:val="center"/>
        </w:trPr>
        <w:tc>
          <w:tcPr>
            <w:tcW w:w="5112" w:type="dxa"/>
            <w:shd w:val="clear" w:color="auto" w:fill="FFFFFF"/>
            <w:tcMar>
              <w:top w:w="130" w:type="dxa"/>
              <w:left w:w="130" w:type="dxa"/>
              <w:bottom w:w="130" w:type="dxa"/>
              <w:right w:w="130" w:type="dxa"/>
            </w:tcMar>
          </w:tcPr>
          <w:p w14:paraId="1563671A" w14:textId="77777777" w:rsidR="00511DAD" w:rsidRPr="00F56506" w:rsidRDefault="00000000" w:rsidP="00272EEC">
            <w:pPr>
              <w:spacing w:after="0" w:line="240" w:lineRule="auto"/>
            </w:pPr>
            <w:r w:rsidRPr="00F56506">
              <w:rPr>
                <w:sz w:val="17"/>
              </w:rPr>
              <w:t>Obligations</w:t>
            </w:r>
          </w:p>
        </w:tc>
        <w:tc>
          <w:tcPr>
            <w:tcW w:w="5112" w:type="dxa"/>
            <w:shd w:val="clear" w:color="auto" w:fill="FFFFFF"/>
            <w:tcMar>
              <w:top w:w="130" w:type="dxa"/>
              <w:left w:w="130" w:type="dxa"/>
              <w:bottom w:w="130" w:type="dxa"/>
              <w:right w:w="130" w:type="dxa"/>
            </w:tcMar>
          </w:tcPr>
          <w:p w14:paraId="2176FE87" w14:textId="77777777" w:rsidR="00511DAD" w:rsidRPr="00F56506" w:rsidRDefault="00000000" w:rsidP="00272EEC">
            <w:pPr>
              <w:spacing w:after="0" w:line="240" w:lineRule="auto"/>
            </w:pPr>
            <w:r w:rsidRPr="00F56506">
              <w:rPr>
                <w:sz w:val="17"/>
              </w:rPr>
              <w:t>Executed agreements, debt, contracts, payment schedule.</w:t>
            </w:r>
          </w:p>
        </w:tc>
      </w:tr>
      <w:tr w:rsidR="00511DAD" w:rsidRPr="00F56506" w14:paraId="0B58C3C0" w14:textId="77777777">
        <w:trPr>
          <w:jc w:val="center"/>
        </w:trPr>
        <w:tc>
          <w:tcPr>
            <w:tcW w:w="5112" w:type="dxa"/>
            <w:shd w:val="clear" w:color="auto" w:fill="F5F8FA"/>
            <w:tcMar>
              <w:top w:w="130" w:type="dxa"/>
              <w:left w:w="130" w:type="dxa"/>
              <w:bottom w:w="130" w:type="dxa"/>
              <w:right w:w="130" w:type="dxa"/>
            </w:tcMar>
          </w:tcPr>
          <w:p w14:paraId="7F72150A" w14:textId="77777777" w:rsidR="00511DAD" w:rsidRPr="00F56506" w:rsidRDefault="00000000" w:rsidP="00272EEC">
            <w:pPr>
              <w:spacing w:after="0" w:line="240" w:lineRule="auto"/>
            </w:pPr>
            <w:r w:rsidRPr="00F56506">
              <w:rPr>
                <w:sz w:val="17"/>
              </w:rPr>
              <w:t>Uncommitted amount</w:t>
            </w:r>
          </w:p>
        </w:tc>
        <w:tc>
          <w:tcPr>
            <w:tcW w:w="5112" w:type="dxa"/>
            <w:shd w:val="clear" w:color="auto" w:fill="F5F8FA"/>
            <w:tcMar>
              <w:top w:w="130" w:type="dxa"/>
              <w:left w:w="130" w:type="dxa"/>
              <w:bottom w:w="130" w:type="dxa"/>
              <w:right w:w="130" w:type="dxa"/>
            </w:tcMar>
          </w:tcPr>
          <w:p w14:paraId="569E20AF" w14:textId="77777777" w:rsidR="00511DAD" w:rsidRPr="00F56506" w:rsidRDefault="00000000" w:rsidP="00272EEC">
            <w:pPr>
              <w:spacing w:after="0" w:line="240" w:lineRule="auto"/>
            </w:pPr>
            <w:r w:rsidRPr="00F56506">
              <w:rPr>
                <w:sz w:val="17"/>
              </w:rPr>
              <w:t>Formula, exclusions, assumptions, confidence designation.</w:t>
            </w:r>
          </w:p>
        </w:tc>
      </w:tr>
      <w:tr w:rsidR="00511DAD" w:rsidRPr="00F56506" w14:paraId="026DD8E1" w14:textId="77777777">
        <w:trPr>
          <w:jc w:val="center"/>
        </w:trPr>
        <w:tc>
          <w:tcPr>
            <w:tcW w:w="5112" w:type="dxa"/>
            <w:shd w:val="clear" w:color="auto" w:fill="FFFFFF"/>
            <w:tcMar>
              <w:top w:w="130" w:type="dxa"/>
              <w:left w:w="130" w:type="dxa"/>
              <w:bottom w:w="130" w:type="dxa"/>
              <w:right w:w="130" w:type="dxa"/>
            </w:tcMar>
          </w:tcPr>
          <w:p w14:paraId="675A5EFC" w14:textId="77777777" w:rsidR="00511DAD" w:rsidRPr="00F56506" w:rsidRDefault="00000000" w:rsidP="00272EEC">
            <w:pPr>
              <w:spacing w:after="0" w:line="240" w:lineRule="auto"/>
            </w:pPr>
            <w:r w:rsidRPr="00F56506">
              <w:rPr>
                <w:sz w:val="17"/>
              </w:rPr>
              <w:t>Project delivery</w:t>
            </w:r>
          </w:p>
        </w:tc>
        <w:tc>
          <w:tcPr>
            <w:tcW w:w="5112" w:type="dxa"/>
            <w:shd w:val="clear" w:color="auto" w:fill="FFFFFF"/>
            <w:tcMar>
              <w:top w:w="130" w:type="dxa"/>
              <w:left w:w="130" w:type="dxa"/>
              <w:bottom w:w="130" w:type="dxa"/>
              <w:right w:w="130" w:type="dxa"/>
            </w:tcMar>
          </w:tcPr>
          <w:p w14:paraId="10FAD945" w14:textId="77777777" w:rsidR="00511DAD" w:rsidRPr="00F56506" w:rsidRDefault="00000000" w:rsidP="00272EEC">
            <w:pPr>
              <w:spacing w:after="0" w:line="240" w:lineRule="auto"/>
            </w:pPr>
            <w:r w:rsidRPr="00F56506">
              <w:rPr>
                <w:sz w:val="17"/>
              </w:rPr>
              <w:t>Approved, contracted, underway, completed, delayed, cancelled.</w:t>
            </w:r>
          </w:p>
        </w:tc>
      </w:tr>
      <w:tr w:rsidR="00511DAD" w:rsidRPr="00F56506" w14:paraId="57006645" w14:textId="77777777">
        <w:trPr>
          <w:jc w:val="center"/>
        </w:trPr>
        <w:tc>
          <w:tcPr>
            <w:tcW w:w="5112" w:type="dxa"/>
            <w:shd w:val="clear" w:color="auto" w:fill="F5F8FA"/>
            <w:tcMar>
              <w:top w:w="130" w:type="dxa"/>
              <w:left w:w="130" w:type="dxa"/>
              <w:bottom w:w="130" w:type="dxa"/>
              <w:right w:w="130" w:type="dxa"/>
            </w:tcMar>
          </w:tcPr>
          <w:p w14:paraId="4B25D4AD" w14:textId="77777777" w:rsidR="00511DAD" w:rsidRPr="00F56506" w:rsidRDefault="00000000" w:rsidP="00272EEC">
            <w:pPr>
              <w:spacing w:after="0" w:line="240" w:lineRule="auto"/>
            </w:pPr>
            <w:r w:rsidRPr="00F56506">
              <w:rPr>
                <w:sz w:val="17"/>
              </w:rPr>
              <w:t>Outcomes</w:t>
            </w:r>
          </w:p>
        </w:tc>
        <w:tc>
          <w:tcPr>
            <w:tcW w:w="5112" w:type="dxa"/>
            <w:shd w:val="clear" w:color="auto" w:fill="F5F8FA"/>
            <w:tcMar>
              <w:top w:w="130" w:type="dxa"/>
              <w:left w:w="130" w:type="dxa"/>
              <w:bottom w:w="130" w:type="dxa"/>
              <w:right w:w="130" w:type="dxa"/>
            </w:tcMar>
          </w:tcPr>
          <w:p w14:paraId="055CDFBF" w14:textId="77777777" w:rsidR="00511DAD" w:rsidRPr="00F56506" w:rsidRDefault="00000000" w:rsidP="00272EEC">
            <w:pPr>
              <w:spacing w:after="0" w:line="240" w:lineRule="auto"/>
            </w:pPr>
            <w:r w:rsidRPr="00F56506">
              <w:rPr>
                <w:sz w:val="17"/>
              </w:rPr>
              <w:t>Private leverage, jobs, housing, infrastructure, occupancy, tax-base indicators.</w:t>
            </w:r>
          </w:p>
        </w:tc>
      </w:tr>
      <w:tr w:rsidR="00511DAD" w:rsidRPr="00F56506" w14:paraId="3FB32D53" w14:textId="77777777">
        <w:trPr>
          <w:jc w:val="center"/>
        </w:trPr>
        <w:tc>
          <w:tcPr>
            <w:tcW w:w="5112" w:type="dxa"/>
            <w:shd w:val="clear" w:color="auto" w:fill="FFFFFF"/>
            <w:tcMar>
              <w:top w:w="130" w:type="dxa"/>
              <w:left w:w="130" w:type="dxa"/>
              <w:bottom w:w="130" w:type="dxa"/>
              <w:right w:w="130" w:type="dxa"/>
            </w:tcMar>
          </w:tcPr>
          <w:p w14:paraId="456054A2" w14:textId="77777777" w:rsidR="00511DAD" w:rsidRPr="00F56506" w:rsidRDefault="00000000" w:rsidP="00272EEC">
            <w:pPr>
              <w:spacing w:after="0" w:line="240" w:lineRule="auto"/>
            </w:pPr>
            <w:r w:rsidRPr="00F56506">
              <w:rPr>
                <w:sz w:val="17"/>
              </w:rPr>
              <w:t>Governance status</w:t>
            </w:r>
          </w:p>
        </w:tc>
        <w:tc>
          <w:tcPr>
            <w:tcW w:w="5112" w:type="dxa"/>
            <w:shd w:val="clear" w:color="auto" w:fill="FFFFFF"/>
            <w:tcMar>
              <w:top w:w="130" w:type="dxa"/>
              <w:left w:w="130" w:type="dxa"/>
              <w:bottom w:w="130" w:type="dxa"/>
              <w:right w:w="130" w:type="dxa"/>
            </w:tcMar>
          </w:tcPr>
          <w:p w14:paraId="1B9BB673" w14:textId="77777777" w:rsidR="00511DAD" w:rsidRPr="00F56506" w:rsidRDefault="00000000" w:rsidP="00272EEC">
            <w:pPr>
              <w:spacing w:after="0" w:line="240" w:lineRule="auto"/>
            </w:pPr>
            <w:r w:rsidRPr="00F56506">
              <w:rPr>
                <w:sz w:val="17"/>
              </w:rPr>
              <w:t>Tier, performance score, surplus action, extension/closure rationale.</w:t>
            </w:r>
          </w:p>
        </w:tc>
      </w:tr>
      <w:tr w:rsidR="00511DAD" w:rsidRPr="00F56506" w14:paraId="73305CA7" w14:textId="77777777">
        <w:trPr>
          <w:jc w:val="center"/>
        </w:trPr>
        <w:tc>
          <w:tcPr>
            <w:tcW w:w="5112" w:type="dxa"/>
            <w:shd w:val="clear" w:color="auto" w:fill="F5F8FA"/>
            <w:tcMar>
              <w:top w:w="130" w:type="dxa"/>
              <w:left w:w="130" w:type="dxa"/>
              <w:bottom w:w="130" w:type="dxa"/>
              <w:right w:w="130" w:type="dxa"/>
            </w:tcMar>
          </w:tcPr>
          <w:p w14:paraId="57DE90EF" w14:textId="77777777" w:rsidR="00511DAD" w:rsidRPr="00F56506" w:rsidRDefault="00000000" w:rsidP="00272EEC">
            <w:pPr>
              <w:spacing w:after="0" w:line="240" w:lineRule="auto"/>
            </w:pPr>
            <w:r w:rsidRPr="00F56506">
              <w:rPr>
                <w:sz w:val="17"/>
              </w:rPr>
              <w:t>Data quality</w:t>
            </w:r>
          </w:p>
        </w:tc>
        <w:tc>
          <w:tcPr>
            <w:tcW w:w="5112" w:type="dxa"/>
            <w:shd w:val="clear" w:color="auto" w:fill="F5F8FA"/>
            <w:tcMar>
              <w:top w:w="130" w:type="dxa"/>
              <w:left w:w="130" w:type="dxa"/>
              <w:bottom w:w="130" w:type="dxa"/>
              <w:right w:w="130" w:type="dxa"/>
            </w:tcMar>
          </w:tcPr>
          <w:p w14:paraId="106AFB1E" w14:textId="77777777" w:rsidR="00511DAD" w:rsidRPr="00F56506" w:rsidRDefault="00000000" w:rsidP="00272EEC">
            <w:pPr>
              <w:spacing w:after="0" w:line="240" w:lineRule="auto"/>
            </w:pPr>
            <w:r w:rsidRPr="00F56506">
              <w:rPr>
                <w:sz w:val="17"/>
              </w:rPr>
              <w:t>Sources, reconciliation, corrections, revision history.</w:t>
            </w:r>
          </w:p>
        </w:tc>
      </w:tr>
    </w:tbl>
    <w:p w14:paraId="215F59B2" w14:textId="77777777" w:rsidR="00511DAD" w:rsidRPr="00F56506" w:rsidRDefault="00511DAD" w:rsidP="00272EEC">
      <w:pPr>
        <w:spacing w:after="0" w:line="240" w:lineRule="auto"/>
      </w:pPr>
    </w:p>
    <w:p w14:paraId="6200D236" w14:textId="77777777" w:rsidR="00511DAD" w:rsidRPr="00F56506" w:rsidRDefault="00000000" w:rsidP="00272EEC">
      <w:pPr>
        <w:pStyle w:val="ListBullet"/>
        <w:spacing w:after="0" w:line="240" w:lineRule="auto"/>
      </w:pPr>
      <w:r w:rsidRPr="00F56506">
        <w:t>Search by address, ward, district, project, and year.</w:t>
      </w:r>
    </w:p>
    <w:p w14:paraId="548D4592" w14:textId="77777777" w:rsidR="00511DAD" w:rsidRPr="00F56506" w:rsidRDefault="00000000" w:rsidP="00272EEC">
      <w:pPr>
        <w:pStyle w:val="ListBullet"/>
        <w:spacing w:after="0" w:line="240" w:lineRule="auto"/>
      </w:pPr>
      <w:r w:rsidRPr="00F56506">
        <w:t>Download district and citywide data in open formats.</w:t>
      </w:r>
    </w:p>
    <w:p w14:paraId="4AB2D7B7" w14:textId="77777777" w:rsidR="00511DAD" w:rsidRPr="00F56506" w:rsidRDefault="00000000" w:rsidP="00272EEC">
      <w:pPr>
        <w:pStyle w:val="ListBullet"/>
        <w:spacing w:after="0" w:line="240" w:lineRule="auto"/>
      </w:pPr>
      <w:r w:rsidRPr="00F56506">
        <w:t>Display obligations separately from uncommitted resources.</w:t>
      </w:r>
    </w:p>
    <w:p w14:paraId="4A0A73FA" w14:textId="77777777" w:rsidR="00511DAD" w:rsidRPr="00F56506" w:rsidRDefault="00000000" w:rsidP="00272EEC">
      <w:pPr>
        <w:pStyle w:val="ListBullet"/>
        <w:spacing w:after="0" w:line="240" w:lineRule="auto"/>
      </w:pPr>
      <w:r w:rsidRPr="00F56506">
        <w:t>Maintain a correction log and archived prior versions.</w:t>
      </w:r>
    </w:p>
    <w:p w14:paraId="0E101843" w14:textId="77777777" w:rsidR="00511DAD" w:rsidRPr="00F56506" w:rsidRDefault="00000000" w:rsidP="00272EEC">
      <w:pPr>
        <w:spacing w:after="0" w:line="240" w:lineRule="auto"/>
      </w:pPr>
      <w:r w:rsidRPr="00F56506">
        <w:br w:type="page"/>
      </w:r>
    </w:p>
    <w:p w14:paraId="1A7F7F09" w14:textId="77777777" w:rsidR="00511DAD" w:rsidRPr="00F56506" w:rsidRDefault="00000000" w:rsidP="00272EEC">
      <w:pPr>
        <w:spacing w:after="0" w:line="240" w:lineRule="auto"/>
      </w:pPr>
      <w:r w:rsidRPr="00F56506">
        <w:rPr>
          <w:b/>
          <w:color w:val="2A9D8F"/>
          <w:sz w:val="18"/>
        </w:rPr>
        <w:lastRenderedPageBreak/>
        <w:t>SECTION 12</w:t>
      </w:r>
    </w:p>
    <w:p w14:paraId="283934B1" w14:textId="77777777" w:rsidR="00511DAD" w:rsidRPr="00F56506" w:rsidRDefault="00000000" w:rsidP="00272EEC">
      <w:pPr>
        <w:pStyle w:val="Heading1"/>
        <w:pBdr>
          <w:bottom w:val="single" w:sz="14" w:space="6" w:color="18324A"/>
        </w:pBdr>
        <w:spacing w:line="240" w:lineRule="auto"/>
        <w:rPr>
          <w:rFonts w:ascii="Aptos" w:hAnsi="Aptos"/>
        </w:rPr>
      </w:pPr>
      <w:r w:rsidRPr="00F56506">
        <w:rPr>
          <w:rFonts w:ascii="Aptos" w:hAnsi="Aptos"/>
        </w:rPr>
        <w:t>Surplus, Maturity, and Close-Out</w:t>
      </w:r>
    </w:p>
    <w:p w14:paraId="35A73B86" w14:textId="77777777" w:rsidR="00511DAD" w:rsidRPr="00F56506" w:rsidRDefault="00000000" w:rsidP="00272EEC">
      <w:pPr>
        <w:spacing w:after="0" w:line="240" w:lineRule="auto"/>
      </w:pPr>
      <w:r w:rsidRPr="00F56506">
        <w:rPr>
          <w:color w:val="5D6872"/>
          <w:sz w:val="22"/>
        </w:rPr>
        <w:t>Return value when goals and obligations no longer justify continued capture.</w:t>
      </w:r>
    </w:p>
    <w:p w14:paraId="6BA3599F" w14:textId="77777777" w:rsidR="00511DAD" w:rsidRPr="00F56506" w:rsidRDefault="00000000" w:rsidP="00272EEC">
      <w:pPr>
        <w:keepLines/>
        <w:spacing w:after="0" w:line="240" w:lineRule="auto"/>
      </w:pPr>
      <w:r w:rsidRPr="00F56506">
        <w:t>A disciplined surplus policy should distinguish current cash, near-term binding obligations, prudent reserves, and speculative project concepts. The city should not promise a universal surplus percentage before definitions are normalized.</w:t>
      </w:r>
    </w:p>
    <w:tbl>
      <w:tblPr>
        <w:tblStyle w:val="TableGrid"/>
        <w:tblW w:w="0" w:type="auto"/>
        <w:jc w:val="center"/>
        <w:tblLook w:val="04A0" w:firstRow="1" w:lastRow="0" w:firstColumn="1" w:lastColumn="0" w:noHBand="0" w:noVBand="1"/>
      </w:tblPr>
      <w:tblGrid>
        <w:gridCol w:w="5107"/>
        <w:gridCol w:w="5107"/>
      </w:tblGrid>
      <w:tr w:rsidR="00511DAD" w:rsidRPr="00F56506" w14:paraId="368CACBB" w14:textId="77777777">
        <w:trPr>
          <w:jc w:val="center"/>
        </w:trPr>
        <w:tc>
          <w:tcPr>
            <w:tcW w:w="5112" w:type="dxa"/>
            <w:shd w:val="clear" w:color="auto" w:fill="18324A"/>
            <w:tcMar>
              <w:top w:w="130" w:type="dxa"/>
              <w:left w:w="130" w:type="dxa"/>
              <w:bottom w:w="130" w:type="dxa"/>
              <w:right w:w="130" w:type="dxa"/>
            </w:tcMar>
          </w:tcPr>
          <w:p w14:paraId="74B20FB6" w14:textId="77777777" w:rsidR="00511DAD" w:rsidRPr="00F56506" w:rsidRDefault="00000000" w:rsidP="00272EEC">
            <w:pPr>
              <w:spacing w:after="0" w:line="240" w:lineRule="auto"/>
            </w:pPr>
            <w:r w:rsidRPr="00F56506">
              <w:rPr>
                <w:b/>
                <w:color w:val="FFFFFF"/>
                <w:sz w:val="18"/>
              </w:rPr>
              <w:t>Question</w:t>
            </w:r>
          </w:p>
        </w:tc>
        <w:tc>
          <w:tcPr>
            <w:tcW w:w="5112" w:type="dxa"/>
            <w:shd w:val="clear" w:color="auto" w:fill="18324A"/>
            <w:tcMar>
              <w:top w:w="130" w:type="dxa"/>
              <w:left w:w="130" w:type="dxa"/>
              <w:bottom w:w="130" w:type="dxa"/>
              <w:right w:w="130" w:type="dxa"/>
            </w:tcMar>
          </w:tcPr>
          <w:p w14:paraId="6E11A8FC" w14:textId="77777777" w:rsidR="00511DAD" w:rsidRPr="00F56506" w:rsidRDefault="00000000" w:rsidP="00272EEC">
            <w:pPr>
              <w:spacing w:after="0" w:line="240" w:lineRule="auto"/>
            </w:pPr>
            <w:r w:rsidRPr="00F56506">
              <w:rPr>
                <w:b/>
                <w:color w:val="FFFFFF"/>
                <w:sz w:val="18"/>
              </w:rPr>
              <w:t>Evidence</w:t>
            </w:r>
          </w:p>
        </w:tc>
      </w:tr>
      <w:tr w:rsidR="00511DAD" w:rsidRPr="00F56506" w14:paraId="6E37EC4B" w14:textId="77777777">
        <w:trPr>
          <w:jc w:val="center"/>
        </w:trPr>
        <w:tc>
          <w:tcPr>
            <w:tcW w:w="5112" w:type="dxa"/>
            <w:shd w:val="clear" w:color="auto" w:fill="FFFFFF"/>
            <w:tcMar>
              <w:top w:w="130" w:type="dxa"/>
              <w:left w:w="130" w:type="dxa"/>
              <w:bottom w:w="130" w:type="dxa"/>
              <w:right w:w="130" w:type="dxa"/>
            </w:tcMar>
          </w:tcPr>
          <w:p w14:paraId="4DCB4C0A" w14:textId="77777777" w:rsidR="00511DAD" w:rsidRPr="00F56506" w:rsidRDefault="00000000" w:rsidP="00272EEC">
            <w:pPr>
              <w:spacing w:after="0" w:line="240" w:lineRule="auto"/>
            </w:pPr>
            <w:r w:rsidRPr="00F56506">
              <w:rPr>
                <w:sz w:val="17"/>
              </w:rPr>
              <w:t>Are objectives substantially achieved?</w:t>
            </w:r>
          </w:p>
        </w:tc>
        <w:tc>
          <w:tcPr>
            <w:tcW w:w="5112" w:type="dxa"/>
            <w:shd w:val="clear" w:color="auto" w:fill="FFFFFF"/>
            <w:tcMar>
              <w:top w:w="130" w:type="dxa"/>
              <w:left w:w="130" w:type="dxa"/>
              <w:bottom w:w="130" w:type="dxa"/>
              <w:right w:w="130" w:type="dxa"/>
            </w:tcMar>
          </w:tcPr>
          <w:p w14:paraId="0B30E7C3" w14:textId="77777777" w:rsidR="00511DAD" w:rsidRPr="00F56506" w:rsidRDefault="00000000" w:rsidP="00272EEC">
            <w:pPr>
              <w:spacing w:after="0" w:line="240" w:lineRule="auto"/>
            </w:pPr>
            <w:r w:rsidRPr="00F56506">
              <w:rPr>
                <w:sz w:val="17"/>
              </w:rPr>
              <w:t>Completion, infrastructure, occupancy, tax-base and neighborhood indicators.</w:t>
            </w:r>
          </w:p>
        </w:tc>
      </w:tr>
      <w:tr w:rsidR="00511DAD" w:rsidRPr="00F56506" w14:paraId="7CB67107" w14:textId="77777777">
        <w:trPr>
          <w:jc w:val="center"/>
        </w:trPr>
        <w:tc>
          <w:tcPr>
            <w:tcW w:w="5112" w:type="dxa"/>
            <w:shd w:val="clear" w:color="auto" w:fill="F5F8FA"/>
            <w:tcMar>
              <w:top w:w="130" w:type="dxa"/>
              <w:left w:w="130" w:type="dxa"/>
              <w:bottom w:w="130" w:type="dxa"/>
              <w:right w:w="130" w:type="dxa"/>
            </w:tcMar>
          </w:tcPr>
          <w:p w14:paraId="7270EBE2" w14:textId="77777777" w:rsidR="00511DAD" w:rsidRPr="00F56506" w:rsidRDefault="00000000" w:rsidP="00272EEC">
            <w:pPr>
              <w:spacing w:after="0" w:line="240" w:lineRule="auto"/>
            </w:pPr>
            <w:r w:rsidRPr="00F56506">
              <w:rPr>
                <w:sz w:val="17"/>
              </w:rPr>
              <w:t>Are binding obligations identified?</w:t>
            </w:r>
          </w:p>
        </w:tc>
        <w:tc>
          <w:tcPr>
            <w:tcW w:w="5112" w:type="dxa"/>
            <w:shd w:val="clear" w:color="auto" w:fill="F5F8FA"/>
            <w:tcMar>
              <w:top w:w="130" w:type="dxa"/>
              <w:left w:w="130" w:type="dxa"/>
              <w:bottom w:w="130" w:type="dxa"/>
              <w:right w:w="130" w:type="dxa"/>
            </w:tcMar>
          </w:tcPr>
          <w:p w14:paraId="711639DB" w14:textId="77777777" w:rsidR="00511DAD" w:rsidRPr="00F56506" w:rsidRDefault="00000000" w:rsidP="00272EEC">
            <w:pPr>
              <w:spacing w:after="0" w:line="240" w:lineRule="auto"/>
            </w:pPr>
            <w:r w:rsidRPr="00F56506">
              <w:rPr>
                <w:sz w:val="17"/>
              </w:rPr>
              <w:t>Executed agreements, debt schedules, contracts, required reserves.</w:t>
            </w:r>
          </w:p>
        </w:tc>
      </w:tr>
      <w:tr w:rsidR="00511DAD" w:rsidRPr="00F56506" w14:paraId="4795A471" w14:textId="77777777">
        <w:trPr>
          <w:jc w:val="center"/>
        </w:trPr>
        <w:tc>
          <w:tcPr>
            <w:tcW w:w="5112" w:type="dxa"/>
            <w:shd w:val="clear" w:color="auto" w:fill="FFFFFF"/>
            <w:tcMar>
              <w:top w:w="130" w:type="dxa"/>
              <w:left w:w="130" w:type="dxa"/>
              <w:bottom w:w="130" w:type="dxa"/>
              <w:right w:w="130" w:type="dxa"/>
            </w:tcMar>
          </w:tcPr>
          <w:p w14:paraId="7E1B1E16" w14:textId="77777777" w:rsidR="00511DAD" w:rsidRPr="00F56506" w:rsidRDefault="00000000" w:rsidP="00272EEC">
            <w:pPr>
              <w:spacing w:after="0" w:line="240" w:lineRule="auto"/>
            </w:pPr>
            <w:r w:rsidRPr="00F56506">
              <w:rPr>
                <w:sz w:val="17"/>
              </w:rPr>
              <w:t>Is there a credible remaining pipeline?</w:t>
            </w:r>
          </w:p>
        </w:tc>
        <w:tc>
          <w:tcPr>
            <w:tcW w:w="5112" w:type="dxa"/>
            <w:shd w:val="clear" w:color="auto" w:fill="FFFFFF"/>
            <w:tcMar>
              <w:top w:w="130" w:type="dxa"/>
              <w:left w:w="130" w:type="dxa"/>
              <w:bottom w:w="130" w:type="dxa"/>
              <w:right w:w="130" w:type="dxa"/>
            </w:tcMar>
          </w:tcPr>
          <w:p w14:paraId="715E3EA1" w14:textId="77777777" w:rsidR="00511DAD" w:rsidRPr="00F56506" w:rsidRDefault="00000000" w:rsidP="00272EEC">
            <w:pPr>
              <w:spacing w:after="0" w:line="240" w:lineRule="auto"/>
            </w:pPr>
            <w:r w:rsidRPr="00F56506">
              <w:rPr>
                <w:sz w:val="17"/>
              </w:rPr>
              <w:t>Specific eligible projects, readiness, financing, timetable.</w:t>
            </w:r>
          </w:p>
        </w:tc>
      </w:tr>
      <w:tr w:rsidR="00511DAD" w:rsidRPr="00F56506" w14:paraId="618BC8DD" w14:textId="77777777">
        <w:trPr>
          <w:jc w:val="center"/>
        </w:trPr>
        <w:tc>
          <w:tcPr>
            <w:tcW w:w="5112" w:type="dxa"/>
            <w:shd w:val="clear" w:color="auto" w:fill="F5F8FA"/>
            <w:tcMar>
              <w:top w:w="130" w:type="dxa"/>
              <w:left w:w="130" w:type="dxa"/>
              <w:bottom w:w="130" w:type="dxa"/>
              <w:right w:w="130" w:type="dxa"/>
            </w:tcMar>
          </w:tcPr>
          <w:p w14:paraId="52D269ED" w14:textId="77777777" w:rsidR="00511DAD" w:rsidRPr="00F56506" w:rsidRDefault="00000000" w:rsidP="00272EEC">
            <w:pPr>
              <w:spacing w:after="0" w:line="240" w:lineRule="auto"/>
            </w:pPr>
            <w:r w:rsidRPr="00F56506">
              <w:rPr>
                <w:sz w:val="17"/>
              </w:rPr>
              <w:t>Does continued capture remain necessary?</w:t>
            </w:r>
          </w:p>
        </w:tc>
        <w:tc>
          <w:tcPr>
            <w:tcW w:w="5112" w:type="dxa"/>
            <w:shd w:val="clear" w:color="auto" w:fill="F5F8FA"/>
            <w:tcMar>
              <w:top w:w="130" w:type="dxa"/>
              <w:left w:w="130" w:type="dxa"/>
              <w:bottom w:w="130" w:type="dxa"/>
              <w:right w:w="130" w:type="dxa"/>
            </w:tcMar>
          </w:tcPr>
          <w:p w14:paraId="6D3691FF" w14:textId="77777777" w:rsidR="00511DAD" w:rsidRPr="00F56506" w:rsidRDefault="00000000" w:rsidP="00272EEC">
            <w:pPr>
              <w:spacing w:after="0" w:line="240" w:lineRule="auto"/>
            </w:pPr>
            <w:r w:rsidRPr="00F56506">
              <w:rPr>
                <w:sz w:val="17"/>
              </w:rPr>
              <w:t>Additionality analysis and alternatives review.</w:t>
            </w:r>
          </w:p>
        </w:tc>
      </w:tr>
      <w:tr w:rsidR="00511DAD" w:rsidRPr="00F56506" w14:paraId="311347B2" w14:textId="77777777">
        <w:trPr>
          <w:jc w:val="center"/>
        </w:trPr>
        <w:tc>
          <w:tcPr>
            <w:tcW w:w="5112" w:type="dxa"/>
            <w:shd w:val="clear" w:color="auto" w:fill="FFFFFF"/>
            <w:tcMar>
              <w:top w:w="130" w:type="dxa"/>
              <w:left w:w="130" w:type="dxa"/>
              <w:bottom w:w="130" w:type="dxa"/>
              <w:right w:w="130" w:type="dxa"/>
            </w:tcMar>
          </w:tcPr>
          <w:p w14:paraId="4AA5AF69" w14:textId="77777777" w:rsidR="00511DAD" w:rsidRPr="00F56506" w:rsidRDefault="00000000" w:rsidP="00272EEC">
            <w:pPr>
              <w:spacing w:after="0" w:line="240" w:lineRule="auto"/>
            </w:pPr>
            <w:r w:rsidRPr="00F56506">
              <w:rPr>
                <w:sz w:val="17"/>
              </w:rPr>
              <w:t>Should the district transition?</w:t>
            </w:r>
          </w:p>
        </w:tc>
        <w:tc>
          <w:tcPr>
            <w:tcW w:w="5112" w:type="dxa"/>
            <w:shd w:val="clear" w:color="auto" w:fill="FFFFFF"/>
            <w:tcMar>
              <w:top w:w="130" w:type="dxa"/>
              <w:left w:w="130" w:type="dxa"/>
              <w:bottom w:w="130" w:type="dxa"/>
              <w:right w:w="130" w:type="dxa"/>
            </w:tcMar>
          </w:tcPr>
          <w:p w14:paraId="514722EA" w14:textId="77777777" w:rsidR="00511DAD" w:rsidRPr="00F56506" w:rsidRDefault="00000000" w:rsidP="00272EEC">
            <w:pPr>
              <w:spacing w:after="0" w:line="240" w:lineRule="auto"/>
            </w:pPr>
            <w:r w:rsidRPr="00F56506">
              <w:rPr>
                <w:sz w:val="17"/>
              </w:rPr>
              <w:t>Tier recommendation, surplus amount, close-out schedule.</w:t>
            </w:r>
          </w:p>
        </w:tc>
      </w:tr>
    </w:tbl>
    <w:p w14:paraId="4BB24597" w14:textId="77777777" w:rsidR="00511DAD" w:rsidRPr="00F56506" w:rsidRDefault="00511DAD" w:rsidP="00272EEC">
      <w:pPr>
        <w:spacing w:after="0" w:line="240" w:lineRule="auto"/>
      </w:pPr>
    </w:p>
    <w:tbl>
      <w:tblPr>
        <w:tblW w:w="0" w:type="auto"/>
        <w:jc w:val="center"/>
        <w:tblLook w:val="04A0" w:firstRow="1" w:lastRow="0" w:firstColumn="1" w:lastColumn="0" w:noHBand="0" w:noVBand="1"/>
      </w:tblPr>
      <w:tblGrid>
        <w:gridCol w:w="10199"/>
      </w:tblGrid>
      <w:tr w:rsidR="00511DAD" w:rsidRPr="00F56506" w14:paraId="4D42CAE1" w14:textId="77777777">
        <w:trPr>
          <w:jc w:val="center"/>
        </w:trPr>
        <w:tc>
          <w:tcPr>
            <w:tcW w:w="10224" w:type="dxa"/>
            <w:tcBorders>
              <w:left w:val="single" w:sz="20" w:space="0" w:color="246A8A"/>
            </w:tcBorders>
            <w:shd w:val="clear" w:color="auto" w:fill="EAF1F5"/>
            <w:tcMar>
              <w:top w:w="190" w:type="dxa"/>
              <w:left w:w="190" w:type="dxa"/>
              <w:bottom w:w="190" w:type="dxa"/>
              <w:right w:w="190" w:type="dxa"/>
            </w:tcMar>
          </w:tcPr>
          <w:p w14:paraId="1124881A" w14:textId="77777777" w:rsidR="00511DAD" w:rsidRPr="00F56506" w:rsidRDefault="00000000" w:rsidP="00272EEC">
            <w:pPr>
              <w:spacing w:after="0" w:line="240" w:lineRule="auto"/>
            </w:pPr>
            <w:r w:rsidRPr="00F56506">
              <w:rPr>
                <w:b/>
                <w:color w:val="246A8A"/>
                <w:sz w:val="20"/>
              </w:rPr>
              <w:t>NO UNSUPPORTED WINDFALL CLAIM</w:t>
            </w:r>
          </w:p>
          <w:p w14:paraId="4186038B" w14:textId="77777777" w:rsidR="00511DAD" w:rsidRPr="00F56506" w:rsidRDefault="00000000" w:rsidP="00272EEC">
            <w:pPr>
              <w:spacing w:after="0" w:line="240" w:lineRule="auto"/>
            </w:pPr>
            <w:r w:rsidRPr="00F56506">
              <w:t>This blueprint does not claim every reported balance can be swept or that reform will produce a predetermined savings amount. First reconcile data and protect lawful commitments; then declare surplus under a repeatable standard.</w:t>
            </w:r>
          </w:p>
        </w:tc>
      </w:tr>
    </w:tbl>
    <w:p w14:paraId="166DFC59" w14:textId="77777777" w:rsidR="00511DAD" w:rsidRPr="00F56506" w:rsidRDefault="00511DAD" w:rsidP="00272EEC">
      <w:pPr>
        <w:spacing w:after="0" w:line="240" w:lineRule="auto"/>
      </w:pPr>
    </w:p>
    <w:p w14:paraId="1476974F" w14:textId="77777777" w:rsidR="00511DAD" w:rsidRPr="00F56506" w:rsidRDefault="00000000" w:rsidP="00272EEC">
      <w:pPr>
        <w:pStyle w:val="ListBullet"/>
        <w:spacing w:after="0" w:line="240" w:lineRule="auto"/>
      </w:pPr>
      <w:r w:rsidRPr="00F56506">
        <w:t>Freeze new discretionary commitments after close-out designation.</w:t>
      </w:r>
    </w:p>
    <w:p w14:paraId="24977549" w14:textId="77777777" w:rsidR="00511DAD" w:rsidRPr="00F56506" w:rsidRDefault="00000000" w:rsidP="00272EEC">
      <w:pPr>
        <w:pStyle w:val="ListBullet"/>
        <w:spacing w:after="0" w:line="240" w:lineRule="auto"/>
      </w:pPr>
      <w:r w:rsidRPr="00F56506">
        <w:t>Publish the final obligation schedule.</w:t>
      </w:r>
    </w:p>
    <w:p w14:paraId="617B4536" w14:textId="77777777" w:rsidR="00511DAD" w:rsidRPr="00F56506" w:rsidRDefault="00000000" w:rsidP="00272EEC">
      <w:pPr>
        <w:pStyle w:val="ListBullet"/>
        <w:spacing w:after="0" w:line="240" w:lineRule="auto"/>
      </w:pPr>
      <w:r w:rsidRPr="00F56506">
        <w:t>Declare legally available surplus under the adopted rule.</w:t>
      </w:r>
    </w:p>
    <w:p w14:paraId="511B24B3" w14:textId="77777777" w:rsidR="00511DAD" w:rsidRPr="00F56506" w:rsidRDefault="00000000" w:rsidP="00272EEC">
      <w:pPr>
        <w:pStyle w:val="ListBullet"/>
        <w:spacing w:after="0" w:line="240" w:lineRule="auto"/>
      </w:pPr>
      <w:r w:rsidRPr="00F56506">
        <w:t>Complete remaining projects under a time-limited plan.</w:t>
      </w:r>
    </w:p>
    <w:p w14:paraId="195BB914" w14:textId="77777777" w:rsidR="00511DAD" w:rsidRPr="00F56506" w:rsidRDefault="00000000" w:rsidP="00272EEC">
      <w:pPr>
        <w:pStyle w:val="ListBullet"/>
        <w:spacing w:after="0" w:line="240" w:lineRule="auto"/>
      </w:pPr>
      <w:r w:rsidRPr="00F56506">
        <w:t>Close the district and document return of incremental value.</w:t>
      </w:r>
    </w:p>
    <w:p w14:paraId="6ED7E3C5" w14:textId="77777777" w:rsidR="00511DAD" w:rsidRPr="00F56506" w:rsidRDefault="00000000" w:rsidP="00272EEC">
      <w:pPr>
        <w:spacing w:after="0" w:line="240" w:lineRule="auto"/>
      </w:pPr>
      <w:r w:rsidRPr="00F56506">
        <w:br w:type="page"/>
      </w:r>
    </w:p>
    <w:p w14:paraId="6B49DC8C" w14:textId="77777777" w:rsidR="00511DAD" w:rsidRPr="00F56506" w:rsidRDefault="00000000" w:rsidP="00272EEC">
      <w:pPr>
        <w:spacing w:after="0" w:line="240" w:lineRule="auto"/>
      </w:pPr>
      <w:r w:rsidRPr="00F56506">
        <w:rPr>
          <w:b/>
          <w:color w:val="2A9D8F"/>
          <w:sz w:val="18"/>
        </w:rPr>
        <w:lastRenderedPageBreak/>
        <w:t>SECTION 13</w:t>
      </w:r>
    </w:p>
    <w:p w14:paraId="0B9EDAED" w14:textId="77777777" w:rsidR="00511DAD" w:rsidRDefault="00000000" w:rsidP="00272EEC">
      <w:pPr>
        <w:pStyle w:val="Heading1"/>
        <w:pBdr>
          <w:bottom w:val="single" w:sz="14" w:space="6" w:color="18324A"/>
        </w:pBdr>
        <w:spacing w:line="240" w:lineRule="auto"/>
        <w:rPr>
          <w:rFonts w:ascii="Aptos" w:hAnsi="Aptos"/>
        </w:rPr>
      </w:pPr>
      <w:r w:rsidRPr="00F56506">
        <w:rPr>
          <w:rFonts w:ascii="Aptos" w:hAnsi="Aptos"/>
        </w:rPr>
        <w:t>First 180 Days</w:t>
      </w:r>
    </w:p>
    <w:p w14:paraId="255B99E9" w14:textId="77777777" w:rsidR="00C67C17" w:rsidRPr="00C67C17" w:rsidRDefault="00C67C17" w:rsidP="00C67C17"/>
    <w:tbl>
      <w:tblPr>
        <w:tblStyle w:val="TableGrid"/>
        <w:tblW w:w="0" w:type="auto"/>
        <w:jc w:val="center"/>
        <w:tblLook w:val="04A0" w:firstRow="1" w:lastRow="0" w:firstColumn="1" w:lastColumn="0" w:noHBand="0" w:noVBand="1"/>
      </w:tblPr>
      <w:tblGrid>
        <w:gridCol w:w="3404"/>
        <w:gridCol w:w="3405"/>
        <w:gridCol w:w="3405"/>
      </w:tblGrid>
      <w:tr w:rsidR="00511DAD" w:rsidRPr="00F56506" w14:paraId="64DC2845" w14:textId="77777777" w:rsidTr="00C67C17">
        <w:trPr>
          <w:jc w:val="center"/>
        </w:trPr>
        <w:tc>
          <w:tcPr>
            <w:tcW w:w="3404" w:type="dxa"/>
            <w:shd w:val="clear" w:color="auto" w:fill="FFFFFF"/>
            <w:tcMar>
              <w:top w:w="130" w:type="dxa"/>
              <w:left w:w="130" w:type="dxa"/>
              <w:bottom w:w="130" w:type="dxa"/>
              <w:right w:w="130" w:type="dxa"/>
            </w:tcMar>
          </w:tcPr>
          <w:p w14:paraId="1AA942B2" w14:textId="55F1F59B" w:rsidR="00511DAD" w:rsidRPr="00F56506" w:rsidRDefault="00000000" w:rsidP="00272EEC">
            <w:pPr>
              <w:spacing w:after="0" w:line="240" w:lineRule="auto"/>
            </w:pPr>
            <w:r w:rsidRPr="00F56506">
              <w:rPr>
                <w:sz w:val="17"/>
              </w:rPr>
              <w:t>Days 1-30</w:t>
            </w:r>
          </w:p>
        </w:tc>
        <w:tc>
          <w:tcPr>
            <w:tcW w:w="3405" w:type="dxa"/>
            <w:shd w:val="clear" w:color="auto" w:fill="FFFFFF"/>
            <w:tcMar>
              <w:top w:w="130" w:type="dxa"/>
              <w:left w:w="130" w:type="dxa"/>
              <w:bottom w:w="130" w:type="dxa"/>
              <w:right w:w="130" w:type="dxa"/>
            </w:tcMar>
          </w:tcPr>
          <w:p w14:paraId="6A706454" w14:textId="77777777" w:rsidR="00511DAD" w:rsidRPr="00F56506" w:rsidRDefault="00000000" w:rsidP="00272EEC">
            <w:pPr>
              <w:spacing w:after="0" w:line="240" w:lineRule="auto"/>
            </w:pPr>
            <w:r w:rsidRPr="00F56506">
              <w:rPr>
                <w:sz w:val="17"/>
              </w:rPr>
              <w:t>Establish team; adopt data dictionary; inventory districts, balances, obligations, transfers, expiration.</w:t>
            </w:r>
          </w:p>
        </w:tc>
        <w:tc>
          <w:tcPr>
            <w:tcW w:w="3405" w:type="dxa"/>
            <w:shd w:val="clear" w:color="auto" w:fill="FFFFFF"/>
            <w:tcMar>
              <w:top w:w="130" w:type="dxa"/>
              <w:left w:w="130" w:type="dxa"/>
              <w:bottom w:w="130" w:type="dxa"/>
              <w:right w:w="130" w:type="dxa"/>
            </w:tcMar>
          </w:tcPr>
          <w:p w14:paraId="74C5D729" w14:textId="77777777" w:rsidR="00511DAD" w:rsidRPr="00F56506" w:rsidRDefault="00000000" w:rsidP="00272EEC">
            <w:pPr>
              <w:spacing w:after="0" w:line="240" w:lineRule="auto"/>
            </w:pPr>
            <w:r w:rsidRPr="00F56506">
              <w:rPr>
                <w:sz w:val="17"/>
              </w:rPr>
              <w:t>District baseline v1 and data-gap log.</w:t>
            </w:r>
          </w:p>
        </w:tc>
      </w:tr>
      <w:tr w:rsidR="00511DAD" w:rsidRPr="00F56506" w14:paraId="450F7B0C" w14:textId="77777777" w:rsidTr="00C67C17">
        <w:trPr>
          <w:jc w:val="center"/>
        </w:trPr>
        <w:tc>
          <w:tcPr>
            <w:tcW w:w="3404" w:type="dxa"/>
            <w:shd w:val="clear" w:color="auto" w:fill="F5F8FA"/>
            <w:tcMar>
              <w:top w:w="130" w:type="dxa"/>
              <w:left w:w="130" w:type="dxa"/>
              <w:bottom w:w="130" w:type="dxa"/>
              <w:right w:w="130" w:type="dxa"/>
            </w:tcMar>
          </w:tcPr>
          <w:p w14:paraId="6D01B9F4" w14:textId="77777777" w:rsidR="00511DAD" w:rsidRPr="00F56506" w:rsidRDefault="00000000" w:rsidP="00272EEC">
            <w:pPr>
              <w:spacing w:after="0" w:line="240" w:lineRule="auto"/>
            </w:pPr>
            <w:r w:rsidRPr="00F56506">
              <w:rPr>
                <w:sz w:val="17"/>
              </w:rPr>
              <w:t>Days 31-60</w:t>
            </w:r>
          </w:p>
        </w:tc>
        <w:tc>
          <w:tcPr>
            <w:tcW w:w="3405" w:type="dxa"/>
            <w:shd w:val="clear" w:color="auto" w:fill="F5F8FA"/>
            <w:tcMar>
              <w:top w:w="130" w:type="dxa"/>
              <w:left w:w="130" w:type="dxa"/>
              <w:bottom w:w="130" w:type="dxa"/>
              <w:right w:w="130" w:type="dxa"/>
            </w:tcMar>
          </w:tcPr>
          <w:p w14:paraId="7647AC24" w14:textId="77777777" w:rsidR="00511DAD" w:rsidRPr="00F56506" w:rsidRDefault="00000000" w:rsidP="00272EEC">
            <w:pPr>
              <w:spacing w:after="0" w:line="240" w:lineRule="auto"/>
            </w:pPr>
            <w:r w:rsidRPr="00F56506">
              <w:rPr>
                <w:sz w:val="17"/>
              </w:rPr>
              <w:t>Release ordinance concepts; publish portability, maturity, surplus, and disclosure standards.</w:t>
            </w:r>
          </w:p>
        </w:tc>
        <w:tc>
          <w:tcPr>
            <w:tcW w:w="3405" w:type="dxa"/>
            <w:shd w:val="clear" w:color="auto" w:fill="F5F8FA"/>
            <w:tcMar>
              <w:top w:w="130" w:type="dxa"/>
              <w:left w:w="130" w:type="dxa"/>
              <w:bottom w:w="130" w:type="dxa"/>
              <w:right w:w="130" w:type="dxa"/>
            </w:tcMar>
          </w:tcPr>
          <w:p w14:paraId="36A3CD80" w14:textId="77777777" w:rsidR="00511DAD" w:rsidRPr="00F56506" w:rsidRDefault="00000000" w:rsidP="00272EEC">
            <w:pPr>
              <w:spacing w:after="0" w:line="240" w:lineRule="auto"/>
            </w:pPr>
            <w:r w:rsidRPr="00F56506">
              <w:rPr>
                <w:sz w:val="17"/>
              </w:rPr>
              <w:t>Draft ordinance package and methodology.</w:t>
            </w:r>
          </w:p>
        </w:tc>
      </w:tr>
      <w:tr w:rsidR="00511DAD" w:rsidRPr="00F56506" w14:paraId="10A31C9A" w14:textId="77777777" w:rsidTr="00C67C17">
        <w:trPr>
          <w:jc w:val="center"/>
        </w:trPr>
        <w:tc>
          <w:tcPr>
            <w:tcW w:w="3404" w:type="dxa"/>
            <w:shd w:val="clear" w:color="auto" w:fill="FFFFFF"/>
            <w:tcMar>
              <w:top w:w="130" w:type="dxa"/>
              <w:left w:w="130" w:type="dxa"/>
              <w:bottom w:w="130" w:type="dxa"/>
              <w:right w:w="130" w:type="dxa"/>
            </w:tcMar>
          </w:tcPr>
          <w:p w14:paraId="7DF04323" w14:textId="77777777" w:rsidR="00511DAD" w:rsidRPr="00F56506" w:rsidRDefault="00000000" w:rsidP="00272EEC">
            <w:pPr>
              <w:spacing w:after="0" w:line="240" w:lineRule="auto"/>
            </w:pPr>
            <w:r w:rsidRPr="00F56506">
              <w:rPr>
                <w:sz w:val="17"/>
              </w:rPr>
              <w:t>Days 61-100</w:t>
            </w:r>
          </w:p>
        </w:tc>
        <w:tc>
          <w:tcPr>
            <w:tcW w:w="3405" w:type="dxa"/>
            <w:shd w:val="clear" w:color="auto" w:fill="FFFFFF"/>
            <w:tcMar>
              <w:top w:w="130" w:type="dxa"/>
              <w:left w:w="130" w:type="dxa"/>
              <w:bottom w:w="130" w:type="dxa"/>
              <w:right w:w="130" w:type="dxa"/>
            </w:tcMar>
          </w:tcPr>
          <w:p w14:paraId="054C965F" w14:textId="77777777" w:rsidR="00511DAD" w:rsidRPr="00F56506" w:rsidRDefault="00000000" w:rsidP="00272EEC">
            <w:pPr>
              <w:spacing w:after="0" w:line="240" w:lineRule="auto"/>
            </w:pPr>
            <w:r w:rsidRPr="00F56506">
              <w:rPr>
                <w:sz w:val="17"/>
              </w:rPr>
              <w:t>Issue provisional tiers; test Index; identify immediate compliance actions.</w:t>
            </w:r>
          </w:p>
        </w:tc>
        <w:tc>
          <w:tcPr>
            <w:tcW w:w="3405" w:type="dxa"/>
            <w:shd w:val="clear" w:color="auto" w:fill="FFFFFF"/>
            <w:tcMar>
              <w:top w:w="130" w:type="dxa"/>
              <w:left w:w="130" w:type="dxa"/>
              <w:bottom w:w="130" w:type="dxa"/>
              <w:right w:w="130" w:type="dxa"/>
            </w:tcMar>
          </w:tcPr>
          <w:p w14:paraId="66316957" w14:textId="77777777" w:rsidR="00511DAD" w:rsidRPr="00F56506" w:rsidRDefault="00000000" w:rsidP="00272EEC">
            <w:pPr>
              <w:spacing w:after="0" w:line="240" w:lineRule="auto"/>
            </w:pPr>
            <w:r w:rsidRPr="00F56506">
              <w:rPr>
                <w:sz w:val="17"/>
              </w:rPr>
              <w:t>100-day TIF compliance report.</w:t>
            </w:r>
          </w:p>
        </w:tc>
      </w:tr>
      <w:tr w:rsidR="00511DAD" w:rsidRPr="00F56506" w14:paraId="3C166007" w14:textId="77777777" w:rsidTr="00C67C17">
        <w:trPr>
          <w:jc w:val="center"/>
        </w:trPr>
        <w:tc>
          <w:tcPr>
            <w:tcW w:w="3404" w:type="dxa"/>
            <w:shd w:val="clear" w:color="auto" w:fill="F5F8FA"/>
            <w:tcMar>
              <w:top w:w="130" w:type="dxa"/>
              <w:left w:w="130" w:type="dxa"/>
              <w:bottom w:w="130" w:type="dxa"/>
              <w:right w:w="130" w:type="dxa"/>
            </w:tcMar>
          </w:tcPr>
          <w:p w14:paraId="5C8D0C4C" w14:textId="77777777" w:rsidR="00511DAD" w:rsidRPr="00F56506" w:rsidRDefault="00000000" w:rsidP="00272EEC">
            <w:pPr>
              <w:spacing w:after="0" w:line="240" w:lineRule="auto"/>
            </w:pPr>
            <w:r w:rsidRPr="00F56506">
              <w:rPr>
                <w:sz w:val="17"/>
              </w:rPr>
              <w:t>Days 101-180</w:t>
            </w:r>
          </w:p>
        </w:tc>
        <w:tc>
          <w:tcPr>
            <w:tcW w:w="3405" w:type="dxa"/>
            <w:shd w:val="clear" w:color="auto" w:fill="F5F8FA"/>
            <w:tcMar>
              <w:top w:w="130" w:type="dxa"/>
              <w:left w:w="130" w:type="dxa"/>
              <w:bottom w:w="130" w:type="dxa"/>
              <w:right w:w="130" w:type="dxa"/>
            </w:tcMar>
          </w:tcPr>
          <w:p w14:paraId="2A1D9CF9" w14:textId="77777777" w:rsidR="00511DAD" w:rsidRPr="00F56506" w:rsidRDefault="00000000" w:rsidP="00272EEC">
            <w:pPr>
              <w:spacing w:after="0" w:line="240" w:lineRule="auto"/>
            </w:pPr>
            <w:r w:rsidRPr="00F56506">
              <w:rPr>
                <w:sz w:val="17"/>
              </w:rPr>
              <w:t>Validate data; finalize scorecards, portfolio plan, and supported surplus/close-out actions.</w:t>
            </w:r>
          </w:p>
        </w:tc>
        <w:tc>
          <w:tcPr>
            <w:tcW w:w="3405" w:type="dxa"/>
            <w:shd w:val="clear" w:color="auto" w:fill="F5F8FA"/>
            <w:tcMar>
              <w:top w:w="130" w:type="dxa"/>
              <w:left w:w="130" w:type="dxa"/>
              <w:bottom w:w="130" w:type="dxa"/>
              <w:right w:w="130" w:type="dxa"/>
            </w:tcMar>
          </w:tcPr>
          <w:p w14:paraId="4D1BBC5F" w14:textId="77777777" w:rsidR="00511DAD" w:rsidRPr="00F56506" w:rsidRDefault="00000000" w:rsidP="00272EEC">
            <w:pPr>
              <w:spacing w:after="0" w:line="240" w:lineRule="auto"/>
            </w:pPr>
            <w:r w:rsidRPr="00F56506">
              <w:rPr>
                <w:sz w:val="17"/>
              </w:rPr>
              <w:t>First annual portfolio plan and dashboard.</w:t>
            </w:r>
          </w:p>
        </w:tc>
      </w:tr>
    </w:tbl>
    <w:p w14:paraId="416ECC60" w14:textId="77777777" w:rsidR="00511DAD" w:rsidRPr="00F56506" w:rsidRDefault="00511DAD" w:rsidP="00272EEC">
      <w:pPr>
        <w:spacing w:after="0" w:line="240" w:lineRule="auto"/>
      </w:pPr>
    </w:p>
    <w:p w14:paraId="52A364ED" w14:textId="77777777" w:rsidR="00511DAD" w:rsidRPr="00F56506" w:rsidRDefault="00000000" w:rsidP="00272EEC">
      <w:pPr>
        <w:pStyle w:val="Heading2"/>
        <w:spacing w:line="240" w:lineRule="auto"/>
        <w:rPr>
          <w:rFonts w:ascii="Aptos" w:hAnsi="Aptos"/>
        </w:rPr>
      </w:pPr>
      <w:r w:rsidRPr="00F56506">
        <w:rPr>
          <w:rFonts w:ascii="Aptos" w:hAnsi="Aptos"/>
        </w:rPr>
        <w:t>First 100-day commitments</w:t>
      </w:r>
    </w:p>
    <w:p w14:paraId="6163C112" w14:textId="77777777" w:rsidR="00511DAD" w:rsidRPr="00F56506" w:rsidRDefault="00000000" w:rsidP="00272EEC">
      <w:pPr>
        <w:pStyle w:val="ListBullet"/>
        <w:spacing w:after="0" w:line="240" w:lineRule="auto"/>
      </w:pPr>
      <w:r w:rsidRPr="00F56506">
        <w:t>Publish district baseline: balances, obligations, and uncommitted amounts.</w:t>
      </w:r>
    </w:p>
    <w:p w14:paraId="4AF2BBBC" w14:textId="77777777" w:rsidR="00511DAD" w:rsidRPr="00F56506" w:rsidRDefault="00000000" w:rsidP="00272EEC">
      <w:pPr>
        <w:pStyle w:val="ListBullet"/>
        <w:spacing w:after="0" w:line="240" w:lineRule="auto"/>
      </w:pPr>
      <w:r w:rsidRPr="00F56506">
        <w:t>Release ordinance package for use hierarchy, maturity tests, and transparency triggers.</w:t>
      </w:r>
    </w:p>
    <w:p w14:paraId="5D190039" w14:textId="77777777" w:rsidR="00511DAD" w:rsidRPr="00F56506" w:rsidRDefault="00000000" w:rsidP="00272EEC">
      <w:pPr>
        <w:pStyle w:val="ListBullet"/>
        <w:spacing w:after="0" w:line="240" w:lineRule="auto"/>
      </w:pPr>
      <w:r w:rsidRPr="00F56506">
        <w:t>Classify districts into provisional Growth, Stabilization, and Close-Out tiers.</w:t>
      </w:r>
    </w:p>
    <w:p w14:paraId="232A7E40" w14:textId="77777777" w:rsidR="00511DAD" w:rsidRDefault="00000000" w:rsidP="00272EEC">
      <w:pPr>
        <w:pStyle w:val="ListBullet"/>
        <w:spacing w:after="0" w:line="240" w:lineRule="auto"/>
      </w:pPr>
      <w:r w:rsidRPr="00F56506">
        <w:t>Publish a compliance report explaining surplus actions and data limitations.</w:t>
      </w:r>
    </w:p>
    <w:p w14:paraId="7ED73A20" w14:textId="77777777" w:rsidR="00C67C17" w:rsidRPr="00F56506" w:rsidRDefault="00C67C17" w:rsidP="00C67C17">
      <w:pPr>
        <w:pStyle w:val="ListBullet"/>
        <w:numPr>
          <w:ilvl w:val="0"/>
          <w:numId w:val="0"/>
        </w:numPr>
        <w:spacing w:after="0" w:line="240" w:lineRule="auto"/>
      </w:pPr>
    </w:p>
    <w:tbl>
      <w:tblPr>
        <w:tblW w:w="0" w:type="auto"/>
        <w:jc w:val="center"/>
        <w:tblLook w:val="04A0" w:firstRow="1" w:lastRow="0" w:firstColumn="1" w:lastColumn="0" w:noHBand="0" w:noVBand="1"/>
      </w:tblPr>
      <w:tblGrid>
        <w:gridCol w:w="10199"/>
      </w:tblGrid>
      <w:tr w:rsidR="00511DAD" w:rsidRPr="00F56506" w14:paraId="7F3207E1" w14:textId="77777777">
        <w:trPr>
          <w:jc w:val="center"/>
        </w:trPr>
        <w:tc>
          <w:tcPr>
            <w:tcW w:w="10224" w:type="dxa"/>
            <w:tcBorders>
              <w:left w:val="single" w:sz="20" w:space="0" w:color="246A8A"/>
            </w:tcBorders>
            <w:shd w:val="clear" w:color="auto" w:fill="EAF1F5"/>
            <w:tcMar>
              <w:top w:w="190" w:type="dxa"/>
              <w:left w:w="190" w:type="dxa"/>
              <w:bottom w:w="190" w:type="dxa"/>
              <w:right w:w="190" w:type="dxa"/>
            </w:tcMar>
          </w:tcPr>
          <w:p w14:paraId="303A142C" w14:textId="77777777" w:rsidR="00511DAD" w:rsidRPr="00F56506" w:rsidRDefault="00000000" w:rsidP="00272EEC">
            <w:pPr>
              <w:spacing w:after="0" w:line="240" w:lineRule="auto"/>
            </w:pPr>
            <w:r w:rsidRPr="00F56506">
              <w:rPr>
                <w:b/>
                <w:color w:val="246A8A"/>
                <w:sz w:val="20"/>
              </w:rPr>
              <w:t>WHAT SUCCESS LOOKS LIKE IN 12 MONTHS</w:t>
            </w:r>
          </w:p>
          <w:p w14:paraId="3F24BB4B" w14:textId="77777777" w:rsidR="00511DAD" w:rsidRPr="00F56506" w:rsidRDefault="00000000" w:rsidP="00272EEC">
            <w:pPr>
              <w:spacing w:after="0" w:line="240" w:lineRule="auto"/>
            </w:pPr>
            <w:r w:rsidRPr="00F56506">
              <w:t>A reconciled dataset; adopted standards; annual scorecards; a portfolio plan; documented portability decisions; mature-district action plans; and a public record explaining every material decision.</w:t>
            </w:r>
          </w:p>
        </w:tc>
      </w:tr>
    </w:tbl>
    <w:p w14:paraId="3D654890" w14:textId="77777777" w:rsidR="00511DAD" w:rsidRPr="00F56506" w:rsidRDefault="00511DAD" w:rsidP="00272EEC">
      <w:pPr>
        <w:spacing w:after="0" w:line="240" w:lineRule="auto"/>
      </w:pPr>
    </w:p>
    <w:p w14:paraId="719D7F85" w14:textId="77777777" w:rsidR="00511DAD" w:rsidRPr="00F56506" w:rsidRDefault="00000000" w:rsidP="00272EEC">
      <w:pPr>
        <w:spacing w:after="0" w:line="240" w:lineRule="auto"/>
      </w:pPr>
      <w:r w:rsidRPr="00F56506">
        <w:br w:type="page"/>
      </w:r>
    </w:p>
    <w:p w14:paraId="42320EE5" w14:textId="77777777" w:rsidR="00511DAD" w:rsidRPr="00F56506" w:rsidRDefault="00000000" w:rsidP="00272EEC">
      <w:pPr>
        <w:spacing w:after="0" w:line="240" w:lineRule="auto"/>
      </w:pPr>
      <w:r w:rsidRPr="00F56506">
        <w:rPr>
          <w:b/>
          <w:color w:val="2A9D8F"/>
          <w:sz w:val="18"/>
        </w:rPr>
        <w:lastRenderedPageBreak/>
        <w:t>SECTION 14</w:t>
      </w:r>
    </w:p>
    <w:p w14:paraId="15725184" w14:textId="77777777" w:rsidR="00511DAD" w:rsidRPr="00F56506" w:rsidRDefault="00000000" w:rsidP="00272EEC">
      <w:pPr>
        <w:pStyle w:val="Heading1"/>
        <w:pBdr>
          <w:bottom w:val="single" w:sz="14" w:space="6" w:color="18324A"/>
        </w:pBdr>
        <w:spacing w:line="240" w:lineRule="auto"/>
        <w:rPr>
          <w:rFonts w:ascii="Aptos" w:hAnsi="Aptos"/>
        </w:rPr>
      </w:pPr>
      <w:r w:rsidRPr="00F56506">
        <w:rPr>
          <w:rFonts w:ascii="Aptos" w:hAnsi="Aptos"/>
        </w:rPr>
        <w:t>Institutional and Ordinance Path</w:t>
      </w:r>
    </w:p>
    <w:p w14:paraId="66090C1B" w14:textId="77777777" w:rsidR="00E5558A" w:rsidRDefault="00E5558A" w:rsidP="00E5558A">
      <w:pPr>
        <w:spacing w:after="0" w:line="240" w:lineRule="auto"/>
        <w:rPr>
          <w:color w:val="5D6872"/>
          <w:szCs w:val="19"/>
        </w:rPr>
      </w:pPr>
    </w:p>
    <w:p w14:paraId="78078419" w14:textId="0CA661F8" w:rsidR="00511DAD" w:rsidRPr="00E5558A" w:rsidRDefault="00000000" w:rsidP="00E5558A">
      <w:pPr>
        <w:spacing w:after="0" w:line="240" w:lineRule="auto"/>
        <w:rPr>
          <w:szCs w:val="19"/>
        </w:rPr>
      </w:pPr>
      <w:r w:rsidRPr="00E5558A">
        <w:rPr>
          <w:color w:val="5D6872"/>
          <w:szCs w:val="19"/>
        </w:rPr>
        <w:t>Codify the operating model so it survives individual administrations and projects.</w:t>
      </w:r>
      <w:r w:rsidR="00E5558A">
        <w:rPr>
          <w:szCs w:val="19"/>
        </w:rPr>
        <w:t xml:space="preserve">  </w:t>
      </w:r>
      <w:r w:rsidRPr="00E5558A">
        <w:rPr>
          <w:szCs w:val="19"/>
        </w:rPr>
        <w:t>The package should be translated into ordinance, administrative rules, reporting standards, and operating</w:t>
      </w:r>
      <w:r w:rsidRPr="00F56506">
        <w:t xml:space="preserve"> procedures. Legal review should confirm consistency with Illinois law, redevelopment plans, bond covenants, intergovernmental agreements, and executed agreements.</w:t>
      </w:r>
    </w:p>
    <w:p w14:paraId="0A447F71" w14:textId="77777777" w:rsidR="00E5558A" w:rsidRPr="00F56506" w:rsidRDefault="00E5558A" w:rsidP="00272EEC">
      <w:pPr>
        <w:keepLines/>
        <w:spacing w:after="0" w:line="240" w:lineRule="auto"/>
      </w:pPr>
    </w:p>
    <w:p w14:paraId="5363AD5D" w14:textId="77777777" w:rsidR="00511DAD" w:rsidRPr="00F56506" w:rsidRDefault="00000000" w:rsidP="00272EEC">
      <w:pPr>
        <w:pStyle w:val="ListBullet"/>
        <w:spacing w:after="0" w:line="240" w:lineRule="auto"/>
      </w:pPr>
      <w:r w:rsidRPr="00F56506">
        <w:t>Definitions for binding obligation, planned commitment, uncommitted amount, portability, maturity, and surplus.</w:t>
      </w:r>
    </w:p>
    <w:p w14:paraId="31FEB369" w14:textId="77777777" w:rsidR="00511DAD" w:rsidRPr="00F56506" w:rsidRDefault="00000000" w:rsidP="00272EEC">
      <w:pPr>
        <w:pStyle w:val="ListBullet"/>
        <w:spacing w:after="0" w:line="240" w:lineRule="auto"/>
      </w:pPr>
      <w:r w:rsidRPr="00F56506">
        <w:t>Required memoranda for designation, amendment, portability, extension, surplus, and closure.</w:t>
      </w:r>
    </w:p>
    <w:p w14:paraId="133588D5" w14:textId="77777777" w:rsidR="00511DAD" w:rsidRPr="00F56506" w:rsidRDefault="00000000" w:rsidP="00272EEC">
      <w:pPr>
        <w:pStyle w:val="ListBullet"/>
        <w:spacing w:after="0" w:line="240" w:lineRule="auto"/>
      </w:pPr>
      <w:r w:rsidRPr="00F56506">
        <w:t>Annual district disclosure and citywide portfolio reporting.</w:t>
      </w:r>
    </w:p>
    <w:p w14:paraId="07CF0403" w14:textId="77777777" w:rsidR="00511DAD" w:rsidRPr="00F56506" w:rsidRDefault="00000000" w:rsidP="00272EEC">
      <w:pPr>
        <w:pStyle w:val="ListBullet"/>
        <w:spacing w:after="0" w:line="240" w:lineRule="auto"/>
      </w:pPr>
      <w:r w:rsidRPr="00F56506">
        <w:t>Scheduled midpoint and maturity reviews.</w:t>
      </w:r>
    </w:p>
    <w:p w14:paraId="2BD99625" w14:textId="77777777" w:rsidR="00511DAD" w:rsidRPr="00F56506" w:rsidRDefault="00000000" w:rsidP="00272EEC">
      <w:pPr>
        <w:pStyle w:val="ListBullet"/>
        <w:spacing w:after="0" w:line="240" w:lineRule="auto"/>
      </w:pPr>
      <w:r w:rsidRPr="00F56506">
        <w:t>Public methodology for tiering and performance scoring.</w:t>
      </w:r>
    </w:p>
    <w:p w14:paraId="5561E5FA" w14:textId="77777777" w:rsidR="00511DAD" w:rsidRPr="00F56506" w:rsidRDefault="00000000" w:rsidP="00272EEC">
      <w:pPr>
        <w:pStyle w:val="ListBullet"/>
        <w:spacing w:after="0" w:line="240" w:lineRule="auto"/>
      </w:pPr>
      <w:r w:rsidRPr="00F56506">
        <w:t>Data publication, correction, and archival rules.</w:t>
      </w:r>
    </w:p>
    <w:p w14:paraId="27C08E2D" w14:textId="77777777" w:rsidR="00511DAD" w:rsidRPr="00F56506" w:rsidRDefault="00000000" w:rsidP="00272EEC">
      <w:pPr>
        <w:pStyle w:val="ListBullet"/>
        <w:spacing w:after="0" w:line="240" w:lineRule="auto"/>
      </w:pPr>
      <w:r w:rsidRPr="00F56506">
        <w:t>Transition rules protecting lawful commitments and contractual rights.</w:t>
      </w:r>
    </w:p>
    <w:tbl>
      <w:tblPr>
        <w:tblW w:w="0" w:type="auto"/>
        <w:jc w:val="center"/>
        <w:tblLook w:val="04A0" w:firstRow="1" w:lastRow="0" w:firstColumn="1" w:lastColumn="0" w:noHBand="0" w:noVBand="1"/>
      </w:tblPr>
      <w:tblGrid>
        <w:gridCol w:w="10199"/>
      </w:tblGrid>
      <w:tr w:rsidR="00511DAD" w:rsidRPr="00F56506" w14:paraId="734F1DC3" w14:textId="77777777">
        <w:trPr>
          <w:jc w:val="center"/>
        </w:trPr>
        <w:tc>
          <w:tcPr>
            <w:tcW w:w="10224" w:type="dxa"/>
            <w:tcBorders>
              <w:left w:val="single" w:sz="20" w:space="0" w:color="246A8A"/>
            </w:tcBorders>
            <w:shd w:val="clear" w:color="auto" w:fill="EAF1F5"/>
            <w:tcMar>
              <w:top w:w="190" w:type="dxa"/>
              <w:left w:w="190" w:type="dxa"/>
              <w:bottom w:w="190" w:type="dxa"/>
              <w:right w:w="190" w:type="dxa"/>
            </w:tcMar>
          </w:tcPr>
          <w:p w14:paraId="211B0C79" w14:textId="77777777" w:rsidR="00511DAD" w:rsidRPr="00F56506" w:rsidRDefault="00000000" w:rsidP="00272EEC">
            <w:pPr>
              <w:spacing w:after="0" w:line="240" w:lineRule="auto"/>
            </w:pPr>
            <w:r w:rsidRPr="00F56506">
              <w:rPr>
                <w:b/>
                <w:color w:val="246A8A"/>
                <w:sz w:val="20"/>
              </w:rPr>
              <w:t>LEGAL CAUTION</w:t>
            </w:r>
          </w:p>
          <w:p w14:paraId="25BA334F" w14:textId="77777777" w:rsidR="00511DAD" w:rsidRPr="00F56506" w:rsidRDefault="00000000" w:rsidP="00272EEC">
            <w:pPr>
              <w:spacing w:after="0" w:line="240" w:lineRule="auto"/>
            </w:pPr>
            <w:r w:rsidRPr="00F56506">
              <w:t>This report proposes policy architecture, not final legal language. Ordinance drafting should be completed with municipal finance, redevelopment, bond, and Illinois statutory counsel.</w:t>
            </w:r>
          </w:p>
        </w:tc>
      </w:tr>
    </w:tbl>
    <w:p w14:paraId="3D35A74B" w14:textId="77777777" w:rsidR="00511DAD" w:rsidRPr="00F56506" w:rsidRDefault="00511DAD" w:rsidP="00272EEC">
      <w:pPr>
        <w:spacing w:after="0" w:line="240" w:lineRule="auto"/>
      </w:pPr>
    </w:p>
    <w:p w14:paraId="4E5FBFD6" w14:textId="77777777" w:rsidR="00511DAD" w:rsidRPr="00F56506" w:rsidRDefault="00000000" w:rsidP="00272EEC">
      <w:pPr>
        <w:spacing w:after="0" w:line="240" w:lineRule="auto"/>
      </w:pPr>
      <w:r w:rsidRPr="00F56506">
        <w:br w:type="page"/>
      </w:r>
    </w:p>
    <w:p w14:paraId="4A4F5B8B" w14:textId="77777777" w:rsidR="00511DAD" w:rsidRPr="00F56506" w:rsidRDefault="00000000" w:rsidP="00272EEC">
      <w:pPr>
        <w:spacing w:after="0" w:line="240" w:lineRule="auto"/>
      </w:pPr>
      <w:r w:rsidRPr="00F56506">
        <w:rPr>
          <w:b/>
          <w:color w:val="2A9D8F"/>
          <w:sz w:val="18"/>
        </w:rPr>
        <w:lastRenderedPageBreak/>
        <w:t>SECTION 15</w:t>
      </w:r>
    </w:p>
    <w:p w14:paraId="6177C56D" w14:textId="77777777" w:rsidR="00511DAD" w:rsidRPr="00F56506" w:rsidRDefault="00000000" w:rsidP="00272EEC">
      <w:pPr>
        <w:pStyle w:val="Heading1"/>
        <w:pBdr>
          <w:bottom w:val="single" w:sz="14" w:space="6" w:color="18324A"/>
        </w:pBdr>
        <w:spacing w:line="240" w:lineRule="auto"/>
        <w:rPr>
          <w:rFonts w:ascii="Aptos" w:hAnsi="Aptos"/>
        </w:rPr>
      </w:pPr>
      <w:r w:rsidRPr="00F56506">
        <w:rPr>
          <w:rFonts w:ascii="Aptos" w:hAnsi="Aptos"/>
        </w:rPr>
        <w:t>Risks and Mitigations</w:t>
      </w:r>
    </w:p>
    <w:p w14:paraId="4ADDCFF2" w14:textId="77777777" w:rsidR="00511DAD" w:rsidRPr="00F56506" w:rsidRDefault="00000000" w:rsidP="00272EEC">
      <w:pPr>
        <w:spacing w:after="0" w:line="240" w:lineRule="auto"/>
      </w:pPr>
      <w:r w:rsidRPr="00F56506">
        <w:rPr>
          <w:color w:val="5D6872"/>
          <w:sz w:val="22"/>
        </w:rPr>
        <w:t>Reform succeeds only if it avoids paralysis and false precision.</w:t>
      </w:r>
    </w:p>
    <w:tbl>
      <w:tblPr>
        <w:tblStyle w:val="TableGrid"/>
        <w:tblW w:w="0" w:type="auto"/>
        <w:jc w:val="center"/>
        <w:tblLook w:val="04A0" w:firstRow="1" w:lastRow="0" w:firstColumn="1" w:lastColumn="0" w:noHBand="0" w:noVBand="1"/>
      </w:tblPr>
      <w:tblGrid>
        <w:gridCol w:w="5107"/>
        <w:gridCol w:w="5107"/>
      </w:tblGrid>
      <w:tr w:rsidR="00511DAD" w:rsidRPr="00F56506" w14:paraId="11DE57C3" w14:textId="77777777">
        <w:trPr>
          <w:jc w:val="center"/>
        </w:trPr>
        <w:tc>
          <w:tcPr>
            <w:tcW w:w="5112" w:type="dxa"/>
            <w:shd w:val="clear" w:color="auto" w:fill="18324A"/>
            <w:tcMar>
              <w:top w:w="130" w:type="dxa"/>
              <w:left w:w="130" w:type="dxa"/>
              <w:bottom w:w="130" w:type="dxa"/>
              <w:right w:w="130" w:type="dxa"/>
            </w:tcMar>
          </w:tcPr>
          <w:p w14:paraId="3A7F5F97" w14:textId="77777777" w:rsidR="00511DAD" w:rsidRPr="00F56506" w:rsidRDefault="00000000" w:rsidP="00272EEC">
            <w:pPr>
              <w:spacing w:after="0" w:line="240" w:lineRule="auto"/>
            </w:pPr>
            <w:r w:rsidRPr="00F56506">
              <w:rPr>
                <w:b/>
                <w:color w:val="FFFFFF"/>
                <w:sz w:val="18"/>
              </w:rPr>
              <w:t>Risk</w:t>
            </w:r>
          </w:p>
        </w:tc>
        <w:tc>
          <w:tcPr>
            <w:tcW w:w="5112" w:type="dxa"/>
            <w:shd w:val="clear" w:color="auto" w:fill="18324A"/>
            <w:tcMar>
              <w:top w:w="130" w:type="dxa"/>
              <w:left w:w="130" w:type="dxa"/>
              <w:bottom w:w="130" w:type="dxa"/>
              <w:right w:w="130" w:type="dxa"/>
            </w:tcMar>
          </w:tcPr>
          <w:p w14:paraId="4382F42E" w14:textId="77777777" w:rsidR="00511DAD" w:rsidRPr="00F56506" w:rsidRDefault="00000000" w:rsidP="00272EEC">
            <w:pPr>
              <w:spacing w:after="0" w:line="240" w:lineRule="auto"/>
            </w:pPr>
            <w:r w:rsidRPr="00F56506">
              <w:rPr>
                <w:b/>
                <w:color w:val="FFFFFF"/>
                <w:sz w:val="18"/>
              </w:rPr>
              <w:t>Mitigation</w:t>
            </w:r>
          </w:p>
        </w:tc>
      </w:tr>
      <w:tr w:rsidR="00511DAD" w:rsidRPr="00F56506" w14:paraId="67CD3327" w14:textId="77777777">
        <w:trPr>
          <w:jc w:val="center"/>
        </w:trPr>
        <w:tc>
          <w:tcPr>
            <w:tcW w:w="5112" w:type="dxa"/>
            <w:shd w:val="clear" w:color="auto" w:fill="FFFFFF"/>
            <w:tcMar>
              <w:top w:w="130" w:type="dxa"/>
              <w:left w:w="130" w:type="dxa"/>
              <w:bottom w:w="130" w:type="dxa"/>
              <w:right w:w="130" w:type="dxa"/>
            </w:tcMar>
          </w:tcPr>
          <w:p w14:paraId="19D99F85" w14:textId="77777777" w:rsidR="00511DAD" w:rsidRPr="00F56506" w:rsidRDefault="00000000" w:rsidP="00272EEC">
            <w:pPr>
              <w:spacing w:after="0" w:line="240" w:lineRule="auto"/>
            </w:pPr>
            <w:r w:rsidRPr="00F56506">
              <w:rPr>
                <w:sz w:val="17"/>
              </w:rPr>
              <w:t>Reform slows legitimate development</w:t>
            </w:r>
          </w:p>
        </w:tc>
        <w:tc>
          <w:tcPr>
            <w:tcW w:w="5112" w:type="dxa"/>
            <w:shd w:val="clear" w:color="auto" w:fill="FFFFFF"/>
            <w:tcMar>
              <w:top w:w="130" w:type="dxa"/>
              <w:left w:w="130" w:type="dxa"/>
              <w:bottom w:w="130" w:type="dxa"/>
              <w:right w:w="130" w:type="dxa"/>
            </w:tcMar>
          </w:tcPr>
          <w:p w14:paraId="4CC97653" w14:textId="77777777" w:rsidR="00511DAD" w:rsidRPr="00F56506" w:rsidRDefault="00000000" w:rsidP="00272EEC">
            <w:pPr>
              <w:spacing w:after="0" w:line="240" w:lineRule="auto"/>
            </w:pPr>
            <w:r w:rsidRPr="00F56506">
              <w:rPr>
                <w:sz w:val="17"/>
              </w:rPr>
              <w:t>Use clear timelines, standard forms, and expedited review for compliant projects.</w:t>
            </w:r>
          </w:p>
        </w:tc>
      </w:tr>
      <w:tr w:rsidR="00511DAD" w:rsidRPr="00F56506" w14:paraId="6E3221C5" w14:textId="77777777">
        <w:trPr>
          <w:jc w:val="center"/>
        </w:trPr>
        <w:tc>
          <w:tcPr>
            <w:tcW w:w="5112" w:type="dxa"/>
            <w:shd w:val="clear" w:color="auto" w:fill="F5F8FA"/>
            <w:tcMar>
              <w:top w:w="130" w:type="dxa"/>
              <w:left w:w="130" w:type="dxa"/>
              <w:bottom w:w="130" w:type="dxa"/>
              <w:right w:w="130" w:type="dxa"/>
            </w:tcMar>
          </w:tcPr>
          <w:p w14:paraId="463059AD" w14:textId="77777777" w:rsidR="00511DAD" w:rsidRPr="00F56506" w:rsidRDefault="00000000" w:rsidP="00272EEC">
            <w:pPr>
              <w:spacing w:after="0" w:line="240" w:lineRule="auto"/>
            </w:pPr>
            <w:r w:rsidRPr="00F56506">
              <w:rPr>
                <w:sz w:val="17"/>
              </w:rPr>
              <w:t>Scoring becomes politicized</w:t>
            </w:r>
          </w:p>
        </w:tc>
        <w:tc>
          <w:tcPr>
            <w:tcW w:w="5112" w:type="dxa"/>
            <w:shd w:val="clear" w:color="auto" w:fill="F5F8FA"/>
            <w:tcMar>
              <w:top w:w="130" w:type="dxa"/>
              <w:left w:w="130" w:type="dxa"/>
              <w:bottom w:w="130" w:type="dxa"/>
              <w:right w:w="130" w:type="dxa"/>
            </w:tcMar>
          </w:tcPr>
          <w:p w14:paraId="47ED1B03" w14:textId="77777777" w:rsidR="00511DAD" w:rsidRPr="00F56506" w:rsidRDefault="00000000" w:rsidP="00272EEC">
            <w:pPr>
              <w:spacing w:after="0" w:line="240" w:lineRule="auto"/>
            </w:pPr>
            <w:r w:rsidRPr="00F56506">
              <w:rPr>
                <w:sz w:val="17"/>
              </w:rPr>
              <w:t>Publish formulas, sources, confidence levels, and corrections.</w:t>
            </w:r>
          </w:p>
        </w:tc>
      </w:tr>
      <w:tr w:rsidR="00511DAD" w:rsidRPr="00F56506" w14:paraId="51642710" w14:textId="77777777">
        <w:trPr>
          <w:jc w:val="center"/>
        </w:trPr>
        <w:tc>
          <w:tcPr>
            <w:tcW w:w="5112" w:type="dxa"/>
            <w:shd w:val="clear" w:color="auto" w:fill="FFFFFF"/>
            <w:tcMar>
              <w:top w:w="130" w:type="dxa"/>
              <w:left w:w="130" w:type="dxa"/>
              <w:bottom w:w="130" w:type="dxa"/>
              <w:right w:w="130" w:type="dxa"/>
            </w:tcMar>
          </w:tcPr>
          <w:p w14:paraId="1446810C" w14:textId="77777777" w:rsidR="00511DAD" w:rsidRPr="00F56506" w:rsidRDefault="00000000" w:rsidP="00272EEC">
            <w:pPr>
              <w:spacing w:after="0" w:line="240" w:lineRule="auto"/>
            </w:pPr>
            <w:r w:rsidRPr="00F56506">
              <w:rPr>
                <w:sz w:val="17"/>
              </w:rPr>
              <w:t>Balances are overstated as available</w:t>
            </w:r>
          </w:p>
        </w:tc>
        <w:tc>
          <w:tcPr>
            <w:tcW w:w="5112" w:type="dxa"/>
            <w:shd w:val="clear" w:color="auto" w:fill="FFFFFF"/>
            <w:tcMar>
              <w:top w:w="130" w:type="dxa"/>
              <w:left w:w="130" w:type="dxa"/>
              <w:bottom w:w="130" w:type="dxa"/>
              <w:right w:w="130" w:type="dxa"/>
            </w:tcMar>
          </w:tcPr>
          <w:p w14:paraId="6FD17436" w14:textId="77777777" w:rsidR="00511DAD" w:rsidRPr="00F56506" w:rsidRDefault="00000000" w:rsidP="00272EEC">
            <w:pPr>
              <w:spacing w:after="0" w:line="240" w:lineRule="auto"/>
            </w:pPr>
            <w:r w:rsidRPr="00F56506">
              <w:rPr>
                <w:sz w:val="17"/>
              </w:rPr>
              <w:t>Reconcile cash against binding obligations and debt.</w:t>
            </w:r>
          </w:p>
        </w:tc>
      </w:tr>
      <w:tr w:rsidR="00511DAD" w:rsidRPr="00F56506" w14:paraId="5061AE89" w14:textId="77777777">
        <w:trPr>
          <w:jc w:val="center"/>
        </w:trPr>
        <w:tc>
          <w:tcPr>
            <w:tcW w:w="5112" w:type="dxa"/>
            <w:shd w:val="clear" w:color="auto" w:fill="F5F8FA"/>
            <w:tcMar>
              <w:top w:w="130" w:type="dxa"/>
              <w:left w:w="130" w:type="dxa"/>
              <w:bottom w:w="130" w:type="dxa"/>
              <w:right w:w="130" w:type="dxa"/>
            </w:tcMar>
          </w:tcPr>
          <w:p w14:paraId="0A3B7CCA" w14:textId="77777777" w:rsidR="00511DAD" w:rsidRPr="00F56506" w:rsidRDefault="00000000" w:rsidP="00272EEC">
            <w:pPr>
              <w:spacing w:after="0" w:line="240" w:lineRule="auto"/>
            </w:pPr>
            <w:r w:rsidRPr="00F56506">
              <w:rPr>
                <w:sz w:val="17"/>
              </w:rPr>
              <w:t>Metrics distort neighborhood needs</w:t>
            </w:r>
          </w:p>
        </w:tc>
        <w:tc>
          <w:tcPr>
            <w:tcW w:w="5112" w:type="dxa"/>
            <w:shd w:val="clear" w:color="auto" w:fill="F5F8FA"/>
            <w:tcMar>
              <w:top w:w="130" w:type="dxa"/>
              <w:left w:w="130" w:type="dxa"/>
              <w:bottom w:w="130" w:type="dxa"/>
              <w:right w:w="130" w:type="dxa"/>
            </w:tcMar>
          </w:tcPr>
          <w:p w14:paraId="272EFB0B" w14:textId="77777777" w:rsidR="00511DAD" w:rsidRPr="00F56506" w:rsidRDefault="00000000" w:rsidP="00272EEC">
            <w:pPr>
              <w:spacing w:after="0" w:line="240" w:lineRule="auto"/>
            </w:pPr>
            <w:r w:rsidRPr="00F56506">
              <w:rPr>
                <w:sz w:val="17"/>
              </w:rPr>
              <w:t>Use a common core plus district-specific outcomes.</w:t>
            </w:r>
          </w:p>
        </w:tc>
      </w:tr>
      <w:tr w:rsidR="00511DAD" w:rsidRPr="00F56506" w14:paraId="4DDD94F8" w14:textId="77777777">
        <w:trPr>
          <w:jc w:val="center"/>
        </w:trPr>
        <w:tc>
          <w:tcPr>
            <w:tcW w:w="5112" w:type="dxa"/>
            <w:shd w:val="clear" w:color="auto" w:fill="FFFFFF"/>
            <w:tcMar>
              <w:top w:w="130" w:type="dxa"/>
              <w:left w:w="130" w:type="dxa"/>
              <w:bottom w:w="130" w:type="dxa"/>
              <w:right w:w="130" w:type="dxa"/>
            </w:tcMar>
          </w:tcPr>
          <w:p w14:paraId="4E7199EE" w14:textId="77777777" w:rsidR="00511DAD" w:rsidRPr="00F56506" w:rsidRDefault="00000000" w:rsidP="00272EEC">
            <w:pPr>
              <w:spacing w:after="0" w:line="240" w:lineRule="auto"/>
            </w:pPr>
            <w:r w:rsidRPr="00F56506">
              <w:rPr>
                <w:sz w:val="17"/>
              </w:rPr>
              <w:t>Portability becomes too rigid</w:t>
            </w:r>
          </w:p>
        </w:tc>
        <w:tc>
          <w:tcPr>
            <w:tcW w:w="5112" w:type="dxa"/>
            <w:shd w:val="clear" w:color="auto" w:fill="FFFFFF"/>
            <w:tcMar>
              <w:top w:w="130" w:type="dxa"/>
              <w:left w:w="130" w:type="dxa"/>
              <w:bottom w:w="130" w:type="dxa"/>
              <w:right w:w="130" w:type="dxa"/>
            </w:tcMar>
          </w:tcPr>
          <w:p w14:paraId="772B2955" w14:textId="77777777" w:rsidR="00511DAD" w:rsidRPr="00F56506" w:rsidRDefault="00000000" w:rsidP="00272EEC">
            <w:pPr>
              <w:spacing w:after="0" w:line="240" w:lineRule="auto"/>
            </w:pPr>
            <w:r w:rsidRPr="00F56506">
              <w:rPr>
                <w:sz w:val="17"/>
              </w:rPr>
              <w:t>Allow structured exceptions with nexus and fiscal tests.</w:t>
            </w:r>
          </w:p>
        </w:tc>
      </w:tr>
      <w:tr w:rsidR="00511DAD" w:rsidRPr="00F56506" w14:paraId="5445FA86" w14:textId="77777777">
        <w:trPr>
          <w:jc w:val="center"/>
        </w:trPr>
        <w:tc>
          <w:tcPr>
            <w:tcW w:w="5112" w:type="dxa"/>
            <w:shd w:val="clear" w:color="auto" w:fill="F5F8FA"/>
            <w:tcMar>
              <w:top w:w="130" w:type="dxa"/>
              <w:left w:w="130" w:type="dxa"/>
              <w:bottom w:w="130" w:type="dxa"/>
              <w:right w:w="130" w:type="dxa"/>
            </w:tcMar>
          </w:tcPr>
          <w:p w14:paraId="48A8C7EF" w14:textId="77777777" w:rsidR="00511DAD" w:rsidRPr="00F56506" w:rsidRDefault="00000000" w:rsidP="00272EEC">
            <w:pPr>
              <w:spacing w:after="0" w:line="240" w:lineRule="auto"/>
            </w:pPr>
            <w:r w:rsidRPr="00F56506">
              <w:rPr>
                <w:sz w:val="17"/>
              </w:rPr>
              <w:t>Closure disrupts projects</w:t>
            </w:r>
          </w:p>
        </w:tc>
        <w:tc>
          <w:tcPr>
            <w:tcW w:w="5112" w:type="dxa"/>
            <w:shd w:val="clear" w:color="auto" w:fill="F5F8FA"/>
            <w:tcMar>
              <w:top w:w="130" w:type="dxa"/>
              <w:left w:w="130" w:type="dxa"/>
              <w:bottom w:w="130" w:type="dxa"/>
              <w:right w:w="130" w:type="dxa"/>
            </w:tcMar>
          </w:tcPr>
          <w:p w14:paraId="0E0AED80" w14:textId="77777777" w:rsidR="00511DAD" w:rsidRPr="00F56506" w:rsidRDefault="00000000" w:rsidP="00272EEC">
            <w:pPr>
              <w:spacing w:after="0" w:line="240" w:lineRule="auto"/>
            </w:pPr>
            <w:r w:rsidRPr="00F56506">
              <w:rPr>
                <w:sz w:val="17"/>
              </w:rPr>
              <w:t>Use transition schedules and protect lawful obligations.</w:t>
            </w:r>
          </w:p>
        </w:tc>
      </w:tr>
      <w:tr w:rsidR="00511DAD" w:rsidRPr="00F56506" w14:paraId="27E29145" w14:textId="77777777">
        <w:trPr>
          <w:jc w:val="center"/>
        </w:trPr>
        <w:tc>
          <w:tcPr>
            <w:tcW w:w="5112" w:type="dxa"/>
            <w:shd w:val="clear" w:color="auto" w:fill="FFFFFF"/>
            <w:tcMar>
              <w:top w:w="130" w:type="dxa"/>
              <w:left w:w="130" w:type="dxa"/>
              <w:bottom w:w="130" w:type="dxa"/>
              <w:right w:w="130" w:type="dxa"/>
            </w:tcMar>
          </w:tcPr>
          <w:p w14:paraId="1BA8DB45" w14:textId="77777777" w:rsidR="00511DAD" w:rsidRPr="00F56506" w:rsidRDefault="00000000" w:rsidP="00272EEC">
            <w:pPr>
              <w:spacing w:after="0" w:line="240" w:lineRule="auto"/>
            </w:pPr>
            <w:r w:rsidRPr="00F56506">
              <w:rPr>
                <w:sz w:val="17"/>
              </w:rPr>
              <w:t>Dashboard becomes stale</w:t>
            </w:r>
          </w:p>
        </w:tc>
        <w:tc>
          <w:tcPr>
            <w:tcW w:w="5112" w:type="dxa"/>
            <w:shd w:val="clear" w:color="auto" w:fill="FFFFFF"/>
            <w:tcMar>
              <w:top w:w="130" w:type="dxa"/>
              <w:left w:w="130" w:type="dxa"/>
              <w:bottom w:w="130" w:type="dxa"/>
              <w:right w:w="130" w:type="dxa"/>
            </w:tcMar>
          </w:tcPr>
          <w:p w14:paraId="37F0B1D2" w14:textId="77777777" w:rsidR="00511DAD" w:rsidRPr="00F56506" w:rsidRDefault="00000000" w:rsidP="00272EEC">
            <w:pPr>
              <w:spacing w:after="0" w:line="240" w:lineRule="auto"/>
            </w:pPr>
            <w:r w:rsidRPr="00F56506">
              <w:rPr>
                <w:sz w:val="17"/>
              </w:rPr>
              <w:t>Assign data owners, update calendars, and correction logs.</w:t>
            </w:r>
          </w:p>
        </w:tc>
      </w:tr>
    </w:tbl>
    <w:p w14:paraId="39EBBE96" w14:textId="77777777" w:rsidR="00511DAD" w:rsidRPr="00F56506" w:rsidRDefault="00511DAD" w:rsidP="00272EEC">
      <w:pPr>
        <w:spacing w:after="0" w:line="240" w:lineRule="auto"/>
      </w:pPr>
    </w:p>
    <w:p w14:paraId="23FB5503" w14:textId="77777777" w:rsidR="00511DAD" w:rsidRPr="00F56506" w:rsidRDefault="00000000" w:rsidP="00272EEC">
      <w:pPr>
        <w:keepLines/>
        <w:spacing w:after="0" w:line="240" w:lineRule="auto"/>
      </w:pPr>
      <w:r w:rsidRPr="00F56506">
        <w:t>A sound framework must be firm enough to prevent drift and flexible enough to support redevelopment. The test is not whether every decision is identical; it is whether different decisions can be explained through the same transparent rules.</w:t>
      </w:r>
    </w:p>
    <w:p w14:paraId="7BF929BB" w14:textId="77777777" w:rsidR="00511DAD" w:rsidRPr="00F56506" w:rsidRDefault="00000000" w:rsidP="00272EEC">
      <w:pPr>
        <w:spacing w:after="0" w:line="240" w:lineRule="auto"/>
      </w:pPr>
      <w:r w:rsidRPr="00F56506">
        <w:br w:type="page"/>
      </w:r>
    </w:p>
    <w:p w14:paraId="20C2DC61" w14:textId="77777777" w:rsidR="00511DAD" w:rsidRPr="00F56506" w:rsidRDefault="00000000" w:rsidP="00272EEC">
      <w:pPr>
        <w:spacing w:after="0" w:line="240" w:lineRule="auto"/>
      </w:pPr>
      <w:r w:rsidRPr="00F56506">
        <w:rPr>
          <w:b/>
          <w:color w:val="2A9D8F"/>
          <w:sz w:val="18"/>
        </w:rPr>
        <w:lastRenderedPageBreak/>
        <w:t>SECTION 16</w:t>
      </w:r>
    </w:p>
    <w:p w14:paraId="6E8D28DD" w14:textId="1ACA786C" w:rsidR="00511DAD" w:rsidRPr="00F56506" w:rsidRDefault="00000000" w:rsidP="00272EEC">
      <w:pPr>
        <w:pStyle w:val="Heading1"/>
        <w:pBdr>
          <w:bottom w:val="single" w:sz="14" w:space="6" w:color="18324A"/>
        </w:pBdr>
        <w:spacing w:line="240" w:lineRule="auto"/>
        <w:rPr>
          <w:rFonts w:ascii="Aptos" w:hAnsi="Aptos"/>
        </w:rPr>
      </w:pPr>
      <w:r w:rsidRPr="00F56506">
        <w:rPr>
          <w:rFonts w:ascii="Aptos" w:hAnsi="Aptos"/>
        </w:rPr>
        <w:t>Public Accountability and Confidence</w:t>
      </w:r>
    </w:p>
    <w:p w14:paraId="1FDD3B0B" w14:textId="77777777" w:rsidR="00C67C17" w:rsidRDefault="00C67C17" w:rsidP="00272EEC">
      <w:pPr>
        <w:spacing w:after="0" w:line="240" w:lineRule="auto"/>
        <w:rPr>
          <w:color w:val="5D6872"/>
          <w:sz w:val="22"/>
        </w:rPr>
      </w:pPr>
    </w:p>
    <w:p w14:paraId="29CE7357" w14:textId="3978376D" w:rsidR="00511DAD" w:rsidRDefault="00000000" w:rsidP="00C67C17">
      <w:pPr>
        <w:spacing w:after="0" w:line="240" w:lineRule="auto"/>
      </w:pPr>
      <w:r w:rsidRPr="00C67C17">
        <w:rPr>
          <w:color w:val="5D6872"/>
          <w:szCs w:val="19"/>
        </w:rPr>
        <w:t>The political choice is not growth versus discipline. Chicago needs both.</w:t>
      </w:r>
      <w:r w:rsidR="00C67C17" w:rsidRPr="00C67C17">
        <w:rPr>
          <w:szCs w:val="19"/>
        </w:rPr>
        <w:t xml:space="preserve">  </w:t>
      </w:r>
      <w:r w:rsidRPr="00C67C17">
        <w:rPr>
          <w:szCs w:val="19"/>
        </w:rPr>
        <w:t>TIF reform should be communicated as a development-confidence initiative. Clear rules reduce uncertainty. Transparent</w:t>
      </w:r>
      <w:r w:rsidRPr="00F56506">
        <w:t xml:space="preserve"> financial information strengthens trust. Measurable outcomes improve selection. Maturity discipline protects the broader tax base.</w:t>
      </w:r>
    </w:p>
    <w:p w14:paraId="30AA73A4" w14:textId="77777777" w:rsidR="00C67C17" w:rsidRPr="00F56506" w:rsidRDefault="00C67C17" w:rsidP="00C67C17">
      <w:pPr>
        <w:spacing w:after="0" w:line="240" w:lineRule="auto"/>
      </w:pPr>
    </w:p>
    <w:tbl>
      <w:tblPr>
        <w:tblW w:w="0" w:type="auto"/>
        <w:jc w:val="center"/>
        <w:tblLook w:val="04A0" w:firstRow="1" w:lastRow="0" w:firstColumn="1" w:lastColumn="0" w:noHBand="0" w:noVBand="1"/>
      </w:tblPr>
      <w:tblGrid>
        <w:gridCol w:w="10199"/>
      </w:tblGrid>
      <w:tr w:rsidR="00511DAD" w:rsidRPr="00F56506" w14:paraId="141F9050" w14:textId="77777777">
        <w:trPr>
          <w:jc w:val="center"/>
        </w:trPr>
        <w:tc>
          <w:tcPr>
            <w:tcW w:w="10224" w:type="dxa"/>
            <w:tcBorders>
              <w:left w:val="single" w:sz="20" w:space="0" w:color="246A8A"/>
            </w:tcBorders>
            <w:shd w:val="clear" w:color="auto" w:fill="EAF1F5"/>
            <w:tcMar>
              <w:top w:w="190" w:type="dxa"/>
              <w:left w:w="190" w:type="dxa"/>
              <w:bottom w:w="190" w:type="dxa"/>
              <w:right w:w="190" w:type="dxa"/>
            </w:tcMar>
          </w:tcPr>
          <w:p w14:paraId="702B9F94" w14:textId="77777777" w:rsidR="00511DAD" w:rsidRPr="00F56506" w:rsidRDefault="00000000" w:rsidP="00272EEC">
            <w:pPr>
              <w:spacing w:after="0" w:line="240" w:lineRule="auto"/>
            </w:pPr>
            <w:r w:rsidRPr="00F56506">
              <w:rPr>
                <w:b/>
                <w:color w:val="246A8A"/>
                <w:sz w:val="20"/>
              </w:rPr>
              <w:t>PUBLIC MESSAGE</w:t>
            </w:r>
          </w:p>
          <w:p w14:paraId="5BBC2B4A" w14:textId="77777777" w:rsidR="00C67C17" w:rsidRDefault="00C67C17" w:rsidP="00272EEC">
            <w:pPr>
              <w:spacing w:after="0" w:line="240" w:lineRule="auto"/>
            </w:pPr>
          </w:p>
          <w:p w14:paraId="5495DBD6" w14:textId="16231A7F" w:rsidR="00511DAD" w:rsidRPr="00F56506" w:rsidRDefault="00000000" w:rsidP="00272EEC">
            <w:pPr>
              <w:spacing w:after="0" w:line="240" w:lineRule="auto"/>
            </w:pPr>
            <w:r w:rsidRPr="00F56506">
              <w:t>The issue is not whether TIF exists. The issue is whether it is governed with discipline that taxpayers can verify.</w:t>
            </w:r>
          </w:p>
        </w:tc>
      </w:tr>
    </w:tbl>
    <w:p w14:paraId="19F0124D" w14:textId="77777777" w:rsidR="00511DAD" w:rsidRPr="00F56506" w:rsidRDefault="00511DAD" w:rsidP="00272EEC">
      <w:pPr>
        <w:spacing w:after="0" w:line="240" w:lineRule="auto"/>
      </w:pPr>
    </w:p>
    <w:p w14:paraId="29FAC128" w14:textId="77777777" w:rsidR="00511DAD" w:rsidRDefault="00000000" w:rsidP="00272EEC">
      <w:pPr>
        <w:pStyle w:val="Heading2"/>
        <w:spacing w:line="240" w:lineRule="auto"/>
        <w:rPr>
          <w:rFonts w:ascii="Aptos" w:hAnsi="Aptos"/>
        </w:rPr>
      </w:pPr>
      <w:r w:rsidRPr="00F56506">
        <w:rPr>
          <w:rFonts w:ascii="Aptos" w:hAnsi="Aptos"/>
        </w:rPr>
        <w:t>What this blueprint says</w:t>
      </w:r>
    </w:p>
    <w:p w14:paraId="08DD7389" w14:textId="77777777" w:rsidR="00C67C17" w:rsidRPr="00C67C17" w:rsidRDefault="00C67C17" w:rsidP="00C67C17"/>
    <w:p w14:paraId="13D0E351" w14:textId="77777777" w:rsidR="00511DAD" w:rsidRPr="00F56506" w:rsidRDefault="00000000" w:rsidP="00272EEC">
      <w:pPr>
        <w:pStyle w:val="ListBullet"/>
        <w:spacing w:after="0" w:line="240" w:lineRule="auto"/>
      </w:pPr>
      <w:r w:rsidRPr="00F56506">
        <w:t>Keep TIF as a redevelopment tool.</w:t>
      </w:r>
    </w:p>
    <w:p w14:paraId="4FAD4E5A" w14:textId="77777777" w:rsidR="00511DAD" w:rsidRPr="00F56506" w:rsidRDefault="00000000" w:rsidP="00272EEC">
      <w:pPr>
        <w:pStyle w:val="ListBullet"/>
        <w:spacing w:after="0" w:line="240" w:lineRule="auto"/>
      </w:pPr>
      <w:r w:rsidRPr="00F56506">
        <w:t>Stop governing a citywide fiscal system through changing project-by-project exceptions.</w:t>
      </w:r>
    </w:p>
    <w:p w14:paraId="46A3A7D0" w14:textId="77777777" w:rsidR="00511DAD" w:rsidRPr="00F56506" w:rsidRDefault="00000000" w:rsidP="00272EEC">
      <w:pPr>
        <w:pStyle w:val="ListBullet"/>
        <w:spacing w:after="0" w:line="240" w:lineRule="auto"/>
      </w:pPr>
      <w:r w:rsidRPr="00F56506">
        <w:t>Measure whether investment delivers lasting neighborhood value.</w:t>
      </w:r>
    </w:p>
    <w:p w14:paraId="0F69BD98" w14:textId="77777777" w:rsidR="00511DAD" w:rsidRPr="00F56506" w:rsidRDefault="00000000" w:rsidP="00272EEC">
      <w:pPr>
        <w:pStyle w:val="ListBullet"/>
        <w:spacing w:after="0" w:line="240" w:lineRule="auto"/>
      </w:pPr>
      <w:r w:rsidRPr="00F56506">
        <w:t>Protect binding commitments while identifying genuinely uncommitted resources.</w:t>
      </w:r>
    </w:p>
    <w:p w14:paraId="669B1A54" w14:textId="77777777" w:rsidR="00511DAD" w:rsidRPr="00F56506" w:rsidRDefault="00000000" w:rsidP="00272EEC">
      <w:pPr>
        <w:pStyle w:val="ListBullet"/>
        <w:spacing w:after="0" w:line="240" w:lineRule="auto"/>
      </w:pPr>
      <w:r w:rsidRPr="00F56506">
        <w:t>Close or transition districts when the redevelopment case no longer supports continued capture.</w:t>
      </w:r>
    </w:p>
    <w:p w14:paraId="674DE580" w14:textId="77777777" w:rsidR="00511DAD" w:rsidRPr="00F56506" w:rsidRDefault="00000000" w:rsidP="00272EEC">
      <w:pPr>
        <w:pStyle w:val="ListBullet"/>
        <w:spacing w:after="0" w:line="240" w:lineRule="auto"/>
      </w:pPr>
      <w:r w:rsidRPr="00F56506">
        <w:t>Give taxpayers and investors one reliable record.</w:t>
      </w:r>
    </w:p>
    <w:p w14:paraId="326A494D" w14:textId="77777777" w:rsidR="00511DAD" w:rsidRDefault="00000000" w:rsidP="00272EEC">
      <w:pPr>
        <w:pStyle w:val="Heading2"/>
        <w:spacing w:line="240" w:lineRule="auto"/>
        <w:rPr>
          <w:rFonts w:ascii="Aptos" w:hAnsi="Aptos"/>
        </w:rPr>
      </w:pPr>
      <w:r w:rsidRPr="00F56506">
        <w:rPr>
          <w:rFonts w:ascii="Aptos" w:hAnsi="Aptos"/>
        </w:rPr>
        <w:t>What this blueprint does not say</w:t>
      </w:r>
    </w:p>
    <w:p w14:paraId="27F5A270" w14:textId="77777777" w:rsidR="00C67C17" w:rsidRPr="00C67C17" w:rsidRDefault="00C67C17" w:rsidP="00C67C17"/>
    <w:p w14:paraId="130FE7E6" w14:textId="77777777" w:rsidR="00511DAD" w:rsidRPr="00F56506" w:rsidRDefault="00000000" w:rsidP="00272EEC">
      <w:pPr>
        <w:pStyle w:val="ListBullet"/>
        <w:spacing w:after="0" w:line="240" w:lineRule="auto"/>
      </w:pPr>
      <w:r w:rsidRPr="00F56506">
        <w:t>It does not assume every fund balance is available cash.</w:t>
      </w:r>
    </w:p>
    <w:p w14:paraId="64400D7D" w14:textId="77777777" w:rsidR="00511DAD" w:rsidRPr="00F56506" w:rsidRDefault="00000000" w:rsidP="00272EEC">
      <w:pPr>
        <w:pStyle w:val="ListBullet"/>
        <w:spacing w:after="0" w:line="240" w:lineRule="auto"/>
      </w:pPr>
      <w:r w:rsidRPr="00F56506">
        <w:t>It does not promise speculative savings.</w:t>
      </w:r>
    </w:p>
    <w:p w14:paraId="08525153" w14:textId="51351881" w:rsidR="00511DAD" w:rsidRPr="00F56506" w:rsidRDefault="00000000" w:rsidP="00272EEC">
      <w:pPr>
        <w:pStyle w:val="ListBullet"/>
        <w:spacing w:after="0" w:line="240" w:lineRule="auto"/>
      </w:pPr>
      <w:r w:rsidRPr="00F56506">
        <w:t xml:space="preserve">It does not assign final </w:t>
      </w:r>
      <w:r w:rsidR="00C67C17">
        <w:t xml:space="preserve">TIF </w:t>
      </w:r>
      <w:r w:rsidRPr="00F56506">
        <w:t>district scores without normalized data.</w:t>
      </w:r>
    </w:p>
    <w:p w14:paraId="5906999E" w14:textId="77777777" w:rsidR="00511DAD" w:rsidRPr="00F56506" w:rsidRDefault="00000000" w:rsidP="00272EEC">
      <w:pPr>
        <w:pStyle w:val="ListBullet"/>
        <w:spacing w:after="0" w:line="240" w:lineRule="auto"/>
      </w:pPr>
      <w:r w:rsidRPr="00F56506">
        <w:t>It does not substitute formulas for public judgment.</w:t>
      </w:r>
    </w:p>
    <w:p w14:paraId="6D4032A3" w14:textId="77777777" w:rsidR="00511DAD" w:rsidRPr="00F56506" w:rsidRDefault="00000000" w:rsidP="00272EEC">
      <w:pPr>
        <w:spacing w:after="0" w:line="240" w:lineRule="auto"/>
      </w:pPr>
      <w:r w:rsidRPr="00F56506">
        <w:br w:type="page"/>
      </w:r>
    </w:p>
    <w:p w14:paraId="52E39B2A" w14:textId="77777777" w:rsidR="00511DAD" w:rsidRPr="00F56506" w:rsidRDefault="00000000" w:rsidP="00272EEC">
      <w:pPr>
        <w:spacing w:after="0" w:line="240" w:lineRule="auto"/>
      </w:pPr>
      <w:r w:rsidRPr="00F56506">
        <w:rPr>
          <w:b/>
          <w:color w:val="2A9D8F"/>
          <w:sz w:val="18"/>
        </w:rPr>
        <w:lastRenderedPageBreak/>
        <w:t>SECTION 17</w:t>
      </w:r>
    </w:p>
    <w:p w14:paraId="00C46F28" w14:textId="77777777" w:rsidR="00511DAD" w:rsidRPr="00F56506" w:rsidRDefault="00000000" w:rsidP="00272EEC">
      <w:pPr>
        <w:pStyle w:val="Heading1"/>
        <w:pBdr>
          <w:bottom w:val="single" w:sz="14" w:space="6" w:color="18324A"/>
        </w:pBdr>
        <w:spacing w:line="240" w:lineRule="auto"/>
        <w:rPr>
          <w:rFonts w:ascii="Aptos" w:hAnsi="Aptos"/>
        </w:rPr>
      </w:pPr>
      <w:r w:rsidRPr="00F56506">
        <w:rPr>
          <w:rFonts w:ascii="Aptos" w:hAnsi="Aptos"/>
        </w:rPr>
        <w:t>Conclusion</w:t>
      </w:r>
    </w:p>
    <w:p w14:paraId="3A74EBB7" w14:textId="77777777" w:rsidR="00C67C17" w:rsidRDefault="00C67C17" w:rsidP="00C67C17">
      <w:pPr>
        <w:spacing w:after="0" w:line="240" w:lineRule="auto"/>
        <w:rPr>
          <w:color w:val="5D6872"/>
          <w:sz w:val="22"/>
        </w:rPr>
      </w:pPr>
    </w:p>
    <w:p w14:paraId="2749DCB9" w14:textId="1B8AE4B6" w:rsidR="00511DAD" w:rsidRPr="00F56506" w:rsidRDefault="00000000" w:rsidP="00C67C17">
      <w:pPr>
        <w:spacing w:after="0" w:line="240" w:lineRule="auto"/>
      </w:pPr>
      <w:r w:rsidRPr="00C67C17">
        <w:rPr>
          <w:color w:val="5D6872"/>
          <w:szCs w:val="19"/>
        </w:rPr>
        <w:t>Govern TIF as the major public system it has become.</w:t>
      </w:r>
      <w:r w:rsidR="00C67C17" w:rsidRPr="00C67C17">
        <w:rPr>
          <w:szCs w:val="19"/>
        </w:rPr>
        <w:t xml:space="preserve">  </w:t>
      </w:r>
      <w:r w:rsidRPr="00C67C17">
        <w:rPr>
          <w:szCs w:val="19"/>
        </w:rPr>
        <w:t>Chicago's</w:t>
      </w:r>
      <w:r w:rsidRPr="00F56506">
        <w:t xml:space="preserve"> future depends not only on how much it invests, but on how wisely it governs. Tax Increment Financing can remain an important tool for neighborhood redevelopment, infrastructure, housing, commercial revitalization, and economic growth. But scale creates responsibility.</w:t>
      </w:r>
    </w:p>
    <w:p w14:paraId="7FFA8220" w14:textId="77777777" w:rsidR="00C67C17" w:rsidRDefault="00C67C17" w:rsidP="00272EEC">
      <w:pPr>
        <w:keepLines/>
        <w:spacing w:after="0" w:line="240" w:lineRule="auto"/>
      </w:pPr>
    </w:p>
    <w:p w14:paraId="57A56635" w14:textId="7D31F114" w:rsidR="00511DAD" w:rsidRPr="00F56506" w:rsidRDefault="00000000" w:rsidP="00272EEC">
      <w:pPr>
        <w:keepLines/>
        <w:spacing w:after="0" w:line="240" w:lineRule="auto"/>
      </w:pPr>
      <w:r w:rsidRPr="00F56506">
        <w:t>The current debate too often begins with an individual project and ends with another exception. The better path is a durable operating model: one set of definitions, one public record for every district, one lifecycle from designation to close-out, one disciplined test for portability, and one portfolio plan.</w:t>
      </w:r>
    </w:p>
    <w:p w14:paraId="7E4D7943" w14:textId="77777777" w:rsidR="00C67C17" w:rsidRDefault="00C67C17" w:rsidP="00272EEC">
      <w:pPr>
        <w:keepLines/>
        <w:spacing w:after="0" w:line="240" w:lineRule="auto"/>
      </w:pPr>
    </w:p>
    <w:p w14:paraId="7241E7BA" w14:textId="32839DE7" w:rsidR="00511DAD" w:rsidRPr="00F56506" w:rsidRDefault="00000000" w:rsidP="00272EEC">
      <w:pPr>
        <w:keepLines/>
        <w:spacing w:after="0" w:line="240" w:lineRule="auto"/>
      </w:pPr>
      <w:r w:rsidRPr="00F56506">
        <w:t>The Chicago TIF Reform Blueprint replaces uncertainty with rules, opacity with reconciled data, inputs with outcomes, and indefinite continuation with maturity discipline. It is pro-development because it creates predictability. It is pro-taxpayer because it creates accountability. It is pro-neighborhood because it measures lasting value.</w:t>
      </w:r>
      <w:r w:rsidR="00FA170A" w:rsidRPr="00F56506">
        <w:t xml:space="preserve"> </w:t>
      </w:r>
    </w:p>
    <w:p w14:paraId="6563C8F9" w14:textId="77777777" w:rsidR="00511DAD" w:rsidRPr="00F56506" w:rsidRDefault="00000000" w:rsidP="00272EEC">
      <w:pPr>
        <w:spacing w:after="0" w:line="240" w:lineRule="auto"/>
      </w:pPr>
      <w:r w:rsidRPr="00F56506">
        <w:br w:type="page"/>
      </w:r>
    </w:p>
    <w:p w14:paraId="4021E2C8" w14:textId="77777777" w:rsidR="00511DAD" w:rsidRPr="00F56506" w:rsidRDefault="00000000" w:rsidP="00272EEC">
      <w:pPr>
        <w:spacing w:after="0" w:line="240" w:lineRule="auto"/>
      </w:pPr>
      <w:r w:rsidRPr="00F56506">
        <w:rPr>
          <w:b/>
          <w:color w:val="2A9D8F"/>
          <w:sz w:val="18"/>
        </w:rPr>
        <w:lastRenderedPageBreak/>
        <w:t>SECTION A</w:t>
      </w:r>
    </w:p>
    <w:p w14:paraId="6F05E2D4" w14:textId="77777777" w:rsidR="00511DAD" w:rsidRPr="00F56506" w:rsidRDefault="00000000" w:rsidP="00272EEC">
      <w:pPr>
        <w:pStyle w:val="Heading1"/>
        <w:pBdr>
          <w:bottom w:val="single" w:sz="14" w:space="6" w:color="18324A"/>
        </w:pBdr>
        <w:spacing w:line="240" w:lineRule="auto"/>
        <w:rPr>
          <w:rFonts w:ascii="Aptos" w:hAnsi="Aptos"/>
        </w:rPr>
      </w:pPr>
      <w:r w:rsidRPr="00F56506">
        <w:rPr>
          <w:rFonts w:ascii="Aptos" w:hAnsi="Aptos"/>
        </w:rPr>
        <w:t>Validation Appendix</w:t>
      </w:r>
    </w:p>
    <w:p w14:paraId="4FDBC67E" w14:textId="77777777" w:rsidR="00511DAD" w:rsidRPr="00F56506" w:rsidRDefault="00000000" w:rsidP="00272EEC">
      <w:pPr>
        <w:spacing w:after="0" w:line="240" w:lineRule="auto"/>
      </w:pPr>
      <w:r w:rsidRPr="00F56506">
        <w:rPr>
          <w:color w:val="5D6872"/>
          <w:sz w:val="22"/>
        </w:rPr>
        <w:t>Verified evidence, policy constructs, and remaining data requirements.</w:t>
      </w:r>
    </w:p>
    <w:p w14:paraId="3D5AA3C5" w14:textId="77777777" w:rsidR="00511DAD" w:rsidRDefault="00000000" w:rsidP="00272EEC">
      <w:pPr>
        <w:pStyle w:val="Heading2"/>
        <w:spacing w:line="240" w:lineRule="auto"/>
        <w:rPr>
          <w:rFonts w:ascii="Aptos" w:hAnsi="Aptos"/>
        </w:rPr>
      </w:pPr>
      <w:r w:rsidRPr="00F56506">
        <w:rPr>
          <w:rFonts w:ascii="Aptos" w:hAnsi="Aptos"/>
        </w:rPr>
        <w:t>Verified quantitative baseline</w:t>
      </w:r>
    </w:p>
    <w:p w14:paraId="79BE4015" w14:textId="77777777" w:rsidR="00E5558A" w:rsidRPr="00E5558A" w:rsidRDefault="00E5558A" w:rsidP="00E5558A"/>
    <w:tbl>
      <w:tblPr>
        <w:tblStyle w:val="TableGrid"/>
        <w:tblW w:w="0" w:type="auto"/>
        <w:jc w:val="center"/>
        <w:tblLook w:val="04A0" w:firstRow="1" w:lastRow="0" w:firstColumn="1" w:lastColumn="0" w:noHBand="0" w:noVBand="1"/>
      </w:tblPr>
      <w:tblGrid>
        <w:gridCol w:w="3404"/>
        <w:gridCol w:w="3405"/>
        <w:gridCol w:w="3405"/>
      </w:tblGrid>
      <w:tr w:rsidR="00511DAD" w:rsidRPr="00F56506" w14:paraId="66B55417" w14:textId="77777777">
        <w:trPr>
          <w:jc w:val="center"/>
        </w:trPr>
        <w:tc>
          <w:tcPr>
            <w:tcW w:w="3408" w:type="dxa"/>
            <w:shd w:val="clear" w:color="auto" w:fill="18324A"/>
            <w:tcMar>
              <w:top w:w="130" w:type="dxa"/>
              <w:left w:w="130" w:type="dxa"/>
              <w:bottom w:w="130" w:type="dxa"/>
              <w:right w:w="130" w:type="dxa"/>
            </w:tcMar>
          </w:tcPr>
          <w:p w14:paraId="594987CB" w14:textId="77777777" w:rsidR="00511DAD" w:rsidRPr="00F56506" w:rsidRDefault="00000000" w:rsidP="00272EEC">
            <w:pPr>
              <w:spacing w:after="0" w:line="240" w:lineRule="auto"/>
            </w:pPr>
            <w:r w:rsidRPr="00F56506">
              <w:rPr>
                <w:b/>
                <w:color w:val="FFFFFF"/>
                <w:sz w:val="18"/>
              </w:rPr>
              <w:t>Measure</w:t>
            </w:r>
          </w:p>
        </w:tc>
        <w:tc>
          <w:tcPr>
            <w:tcW w:w="3408" w:type="dxa"/>
            <w:shd w:val="clear" w:color="auto" w:fill="18324A"/>
            <w:tcMar>
              <w:top w:w="130" w:type="dxa"/>
              <w:left w:w="130" w:type="dxa"/>
              <w:bottom w:w="130" w:type="dxa"/>
              <w:right w:w="130" w:type="dxa"/>
            </w:tcMar>
          </w:tcPr>
          <w:p w14:paraId="74EB5EAB" w14:textId="77777777" w:rsidR="00511DAD" w:rsidRPr="00F56506" w:rsidRDefault="00000000" w:rsidP="00272EEC">
            <w:pPr>
              <w:spacing w:after="0" w:line="240" w:lineRule="auto"/>
            </w:pPr>
            <w:r w:rsidRPr="00F56506">
              <w:rPr>
                <w:b/>
                <w:color w:val="FFFFFF"/>
                <w:sz w:val="18"/>
              </w:rPr>
              <w:t>Verified value</w:t>
            </w:r>
          </w:p>
        </w:tc>
        <w:tc>
          <w:tcPr>
            <w:tcW w:w="3408" w:type="dxa"/>
            <w:shd w:val="clear" w:color="auto" w:fill="18324A"/>
            <w:tcMar>
              <w:top w:w="130" w:type="dxa"/>
              <w:left w:w="130" w:type="dxa"/>
              <w:bottom w:w="130" w:type="dxa"/>
              <w:right w:w="130" w:type="dxa"/>
            </w:tcMar>
          </w:tcPr>
          <w:p w14:paraId="049BC3DB" w14:textId="77777777" w:rsidR="00511DAD" w:rsidRPr="00F56506" w:rsidRDefault="00000000" w:rsidP="00272EEC">
            <w:pPr>
              <w:spacing w:after="0" w:line="240" w:lineRule="auto"/>
            </w:pPr>
            <w:r w:rsidRPr="00F56506">
              <w:rPr>
                <w:b/>
                <w:color w:val="FFFFFF"/>
                <w:sz w:val="18"/>
              </w:rPr>
              <w:t>Research basis</w:t>
            </w:r>
          </w:p>
        </w:tc>
      </w:tr>
      <w:tr w:rsidR="00511DAD" w:rsidRPr="00F56506" w14:paraId="1172E3EF" w14:textId="77777777">
        <w:trPr>
          <w:jc w:val="center"/>
        </w:trPr>
        <w:tc>
          <w:tcPr>
            <w:tcW w:w="3408" w:type="dxa"/>
            <w:shd w:val="clear" w:color="auto" w:fill="FFFFFF"/>
            <w:tcMar>
              <w:top w:w="130" w:type="dxa"/>
              <w:left w:w="130" w:type="dxa"/>
              <w:bottom w:w="130" w:type="dxa"/>
              <w:right w:w="130" w:type="dxa"/>
            </w:tcMar>
          </w:tcPr>
          <w:p w14:paraId="5567E4A6" w14:textId="77777777" w:rsidR="00511DAD" w:rsidRPr="00F56506" w:rsidRDefault="00000000" w:rsidP="00272EEC">
            <w:pPr>
              <w:spacing w:after="0" w:line="240" w:lineRule="auto"/>
            </w:pPr>
            <w:r w:rsidRPr="00F56506">
              <w:rPr>
                <w:sz w:val="17"/>
              </w:rPr>
              <w:t>2011 city TIF revenue</w:t>
            </w:r>
          </w:p>
        </w:tc>
        <w:tc>
          <w:tcPr>
            <w:tcW w:w="3408" w:type="dxa"/>
            <w:shd w:val="clear" w:color="auto" w:fill="FFFFFF"/>
            <w:tcMar>
              <w:top w:w="130" w:type="dxa"/>
              <w:left w:w="130" w:type="dxa"/>
              <w:bottom w:w="130" w:type="dxa"/>
              <w:right w:w="130" w:type="dxa"/>
            </w:tcMar>
          </w:tcPr>
          <w:p w14:paraId="0DBB9C89" w14:textId="77777777" w:rsidR="00511DAD" w:rsidRPr="00F56506" w:rsidRDefault="00000000" w:rsidP="00272EEC">
            <w:pPr>
              <w:spacing w:after="0" w:line="240" w:lineRule="auto"/>
            </w:pPr>
            <w:r w:rsidRPr="00F56506">
              <w:rPr>
                <w:sz w:val="17"/>
              </w:rPr>
              <w:t>$453,671,989.75</w:t>
            </w:r>
          </w:p>
        </w:tc>
        <w:tc>
          <w:tcPr>
            <w:tcW w:w="3408" w:type="dxa"/>
            <w:shd w:val="clear" w:color="auto" w:fill="FFFFFF"/>
            <w:tcMar>
              <w:top w:w="130" w:type="dxa"/>
              <w:left w:w="130" w:type="dxa"/>
              <w:bottom w:w="130" w:type="dxa"/>
              <w:right w:w="130" w:type="dxa"/>
            </w:tcMar>
          </w:tcPr>
          <w:p w14:paraId="7170DA48" w14:textId="77777777" w:rsidR="00511DAD" w:rsidRPr="00F56506" w:rsidRDefault="00000000" w:rsidP="00272EEC">
            <w:pPr>
              <w:spacing w:after="0" w:line="240" w:lineRule="auto"/>
            </w:pPr>
            <w:r w:rsidRPr="00F56506">
              <w:rPr>
                <w:sz w:val="17"/>
              </w:rPr>
              <w:t>2011-2012 Cook County Clerk comparison in report lineage.</w:t>
            </w:r>
          </w:p>
        </w:tc>
      </w:tr>
      <w:tr w:rsidR="00511DAD" w:rsidRPr="00F56506" w14:paraId="0EB767B9" w14:textId="77777777">
        <w:trPr>
          <w:jc w:val="center"/>
        </w:trPr>
        <w:tc>
          <w:tcPr>
            <w:tcW w:w="3408" w:type="dxa"/>
            <w:shd w:val="clear" w:color="auto" w:fill="F5F8FA"/>
            <w:tcMar>
              <w:top w:w="130" w:type="dxa"/>
              <w:left w:w="130" w:type="dxa"/>
              <w:bottom w:w="130" w:type="dxa"/>
              <w:right w:w="130" w:type="dxa"/>
            </w:tcMar>
          </w:tcPr>
          <w:p w14:paraId="7F9F1153" w14:textId="77777777" w:rsidR="00511DAD" w:rsidRPr="00F56506" w:rsidRDefault="00000000" w:rsidP="00272EEC">
            <w:pPr>
              <w:spacing w:after="0" w:line="240" w:lineRule="auto"/>
            </w:pPr>
            <w:r w:rsidRPr="00F56506">
              <w:rPr>
                <w:sz w:val="17"/>
              </w:rPr>
              <w:t>2012 city TIF revenue</w:t>
            </w:r>
          </w:p>
        </w:tc>
        <w:tc>
          <w:tcPr>
            <w:tcW w:w="3408" w:type="dxa"/>
            <w:shd w:val="clear" w:color="auto" w:fill="F5F8FA"/>
            <w:tcMar>
              <w:top w:w="130" w:type="dxa"/>
              <w:left w:w="130" w:type="dxa"/>
              <w:bottom w:w="130" w:type="dxa"/>
              <w:right w:w="130" w:type="dxa"/>
            </w:tcMar>
          </w:tcPr>
          <w:p w14:paraId="1468A4A0" w14:textId="77777777" w:rsidR="00511DAD" w:rsidRPr="00F56506" w:rsidRDefault="00000000" w:rsidP="00272EEC">
            <w:pPr>
              <w:spacing w:after="0" w:line="240" w:lineRule="auto"/>
            </w:pPr>
            <w:r w:rsidRPr="00F56506">
              <w:rPr>
                <w:sz w:val="17"/>
              </w:rPr>
              <w:t>$457,007,111.15</w:t>
            </w:r>
          </w:p>
        </w:tc>
        <w:tc>
          <w:tcPr>
            <w:tcW w:w="3408" w:type="dxa"/>
            <w:shd w:val="clear" w:color="auto" w:fill="F5F8FA"/>
            <w:tcMar>
              <w:top w:w="130" w:type="dxa"/>
              <w:left w:w="130" w:type="dxa"/>
              <w:bottom w:w="130" w:type="dxa"/>
              <w:right w:w="130" w:type="dxa"/>
            </w:tcMar>
          </w:tcPr>
          <w:p w14:paraId="0D805130" w14:textId="77777777" w:rsidR="00511DAD" w:rsidRPr="00F56506" w:rsidRDefault="00000000" w:rsidP="00272EEC">
            <w:pPr>
              <w:spacing w:after="0" w:line="240" w:lineRule="auto"/>
            </w:pPr>
            <w:r w:rsidRPr="00F56506">
              <w:rPr>
                <w:sz w:val="17"/>
              </w:rPr>
              <w:t>2011-2012 comparison.</w:t>
            </w:r>
          </w:p>
        </w:tc>
      </w:tr>
      <w:tr w:rsidR="00511DAD" w:rsidRPr="00F56506" w14:paraId="1108251E" w14:textId="77777777">
        <w:trPr>
          <w:jc w:val="center"/>
        </w:trPr>
        <w:tc>
          <w:tcPr>
            <w:tcW w:w="3408" w:type="dxa"/>
            <w:shd w:val="clear" w:color="auto" w:fill="FFFFFF"/>
            <w:tcMar>
              <w:top w:w="130" w:type="dxa"/>
              <w:left w:w="130" w:type="dxa"/>
              <w:bottom w:w="130" w:type="dxa"/>
              <w:right w:w="130" w:type="dxa"/>
            </w:tcMar>
          </w:tcPr>
          <w:p w14:paraId="2D12CA0C" w14:textId="77777777" w:rsidR="00511DAD" w:rsidRPr="00F56506" w:rsidRDefault="00000000" w:rsidP="00272EEC">
            <w:pPr>
              <w:spacing w:after="0" w:line="240" w:lineRule="auto"/>
            </w:pPr>
            <w:r w:rsidRPr="00F56506">
              <w:rPr>
                <w:sz w:val="17"/>
              </w:rPr>
              <w:t>2012 vs 2011</w:t>
            </w:r>
          </w:p>
        </w:tc>
        <w:tc>
          <w:tcPr>
            <w:tcW w:w="3408" w:type="dxa"/>
            <w:shd w:val="clear" w:color="auto" w:fill="FFFFFF"/>
            <w:tcMar>
              <w:top w:w="130" w:type="dxa"/>
              <w:left w:w="130" w:type="dxa"/>
              <w:bottom w:w="130" w:type="dxa"/>
              <w:right w:w="130" w:type="dxa"/>
            </w:tcMar>
          </w:tcPr>
          <w:p w14:paraId="44DDFDC9" w14:textId="77777777" w:rsidR="00511DAD" w:rsidRPr="00F56506" w:rsidRDefault="00000000" w:rsidP="00272EEC">
            <w:pPr>
              <w:spacing w:after="0" w:line="240" w:lineRule="auto"/>
            </w:pPr>
            <w:r w:rsidRPr="00F56506">
              <w:rPr>
                <w:sz w:val="17"/>
              </w:rPr>
              <w:t>0.74%</w:t>
            </w:r>
          </w:p>
        </w:tc>
        <w:tc>
          <w:tcPr>
            <w:tcW w:w="3408" w:type="dxa"/>
            <w:shd w:val="clear" w:color="auto" w:fill="FFFFFF"/>
            <w:tcMar>
              <w:top w:w="130" w:type="dxa"/>
              <w:left w:w="130" w:type="dxa"/>
              <w:bottom w:w="130" w:type="dxa"/>
              <w:right w:w="130" w:type="dxa"/>
            </w:tcMar>
          </w:tcPr>
          <w:p w14:paraId="135DD02E" w14:textId="77777777" w:rsidR="00511DAD" w:rsidRPr="00F56506" w:rsidRDefault="00000000" w:rsidP="00272EEC">
            <w:pPr>
              <w:spacing w:after="0" w:line="240" w:lineRule="auto"/>
            </w:pPr>
            <w:r w:rsidRPr="00F56506">
              <w:rPr>
                <w:sz w:val="17"/>
              </w:rPr>
              <w:t>Calculated from verified values.</w:t>
            </w:r>
          </w:p>
        </w:tc>
      </w:tr>
      <w:tr w:rsidR="00511DAD" w:rsidRPr="00F56506" w14:paraId="5E65FB38" w14:textId="77777777">
        <w:trPr>
          <w:jc w:val="center"/>
        </w:trPr>
        <w:tc>
          <w:tcPr>
            <w:tcW w:w="3408" w:type="dxa"/>
            <w:shd w:val="clear" w:color="auto" w:fill="F5F8FA"/>
            <w:tcMar>
              <w:top w:w="130" w:type="dxa"/>
              <w:left w:w="130" w:type="dxa"/>
              <w:bottom w:w="130" w:type="dxa"/>
              <w:right w:w="130" w:type="dxa"/>
            </w:tcMar>
          </w:tcPr>
          <w:p w14:paraId="0084B06A" w14:textId="77777777" w:rsidR="00511DAD" w:rsidRPr="00F56506" w:rsidRDefault="00000000" w:rsidP="00272EEC">
            <w:pPr>
              <w:spacing w:after="0" w:line="240" w:lineRule="auto"/>
            </w:pPr>
            <w:r w:rsidRPr="00F56506">
              <w:rPr>
                <w:sz w:val="17"/>
              </w:rPr>
              <w:t>2023 city TIF revenue</w:t>
            </w:r>
          </w:p>
        </w:tc>
        <w:tc>
          <w:tcPr>
            <w:tcW w:w="3408" w:type="dxa"/>
            <w:shd w:val="clear" w:color="auto" w:fill="F5F8FA"/>
            <w:tcMar>
              <w:top w:w="130" w:type="dxa"/>
              <w:left w:w="130" w:type="dxa"/>
              <w:bottom w:w="130" w:type="dxa"/>
              <w:right w:w="130" w:type="dxa"/>
            </w:tcMar>
          </w:tcPr>
          <w:p w14:paraId="7D70950A" w14:textId="77777777" w:rsidR="00511DAD" w:rsidRPr="00F56506" w:rsidRDefault="00000000" w:rsidP="00272EEC">
            <w:pPr>
              <w:spacing w:after="0" w:line="240" w:lineRule="auto"/>
            </w:pPr>
            <w:r w:rsidRPr="00F56506">
              <w:rPr>
                <w:sz w:val="17"/>
              </w:rPr>
              <w:t>$1,360,291,743.46</w:t>
            </w:r>
          </w:p>
        </w:tc>
        <w:tc>
          <w:tcPr>
            <w:tcW w:w="3408" w:type="dxa"/>
            <w:shd w:val="clear" w:color="auto" w:fill="F5F8FA"/>
            <w:tcMar>
              <w:top w:w="130" w:type="dxa"/>
              <w:left w:w="130" w:type="dxa"/>
              <w:bottom w:w="130" w:type="dxa"/>
              <w:right w:w="130" w:type="dxa"/>
            </w:tcMar>
          </w:tcPr>
          <w:p w14:paraId="6312AC39" w14:textId="77777777" w:rsidR="00511DAD" w:rsidRPr="00F56506" w:rsidRDefault="00000000" w:rsidP="00272EEC">
            <w:pPr>
              <w:spacing w:after="0" w:line="240" w:lineRule="auto"/>
            </w:pPr>
            <w:r w:rsidRPr="00F56506">
              <w:rPr>
                <w:sz w:val="17"/>
              </w:rPr>
              <w:t>2023-2024 Cook County Clerk comparison.</w:t>
            </w:r>
          </w:p>
        </w:tc>
      </w:tr>
      <w:tr w:rsidR="00511DAD" w:rsidRPr="00F56506" w14:paraId="5E04745B" w14:textId="77777777">
        <w:trPr>
          <w:jc w:val="center"/>
        </w:trPr>
        <w:tc>
          <w:tcPr>
            <w:tcW w:w="3408" w:type="dxa"/>
            <w:shd w:val="clear" w:color="auto" w:fill="FFFFFF"/>
            <w:tcMar>
              <w:top w:w="130" w:type="dxa"/>
              <w:left w:w="130" w:type="dxa"/>
              <w:bottom w:w="130" w:type="dxa"/>
              <w:right w:w="130" w:type="dxa"/>
            </w:tcMar>
          </w:tcPr>
          <w:p w14:paraId="09637E7F" w14:textId="77777777" w:rsidR="00511DAD" w:rsidRPr="00F56506" w:rsidRDefault="00000000" w:rsidP="00272EEC">
            <w:pPr>
              <w:spacing w:after="0" w:line="240" w:lineRule="auto"/>
            </w:pPr>
            <w:r w:rsidRPr="00F56506">
              <w:rPr>
                <w:sz w:val="17"/>
              </w:rPr>
              <w:t>2024 city TIF revenue</w:t>
            </w:r>
          </w:p>
        </w:tc>
        <w:tc>
          <w:tcPr>
            <w:tcW w:w="3408" w:type="dxa"/>
            <w:shd w:val="clear" w:color="auto" w:fill="FFFFFF"/>
            <w:tcMar>
              <w:top w:w="130" w:type="dxa"/>
              <w:left w:w="130" w:type="dxa"/>
              <w:bottom w:w="130" w:type="dxa"/>
              <w:right w:w="130" w:type="dxa"/>
            </w:tcMar>
          </w:tcPr>
          <w:p w14:paraId="48F877DF" w14:textId="77777777" w:rsidR="00511DAD" w:rsidRPr="00F56506" w:rsidRDefault="00000000" w:rsidP="00272EEC">
            <w:pPr>
              <w:spacing w:after="0" w:line="240" w:lineRule="auto"/>
            </w:pPr>
            <w:r w:rsidRPr="00F56506">
              <w:rPr>
                <w:sz w:val="17"/>
              </w:rPr>
              <w:t>$1,585,684,624.89</w:t>
            </w:r>
          </w:p>
        </w:tc>
        <w:tc>
          <w:tcPr>
            <w:tcW w:w="3408" w:type="dxa"/>
            <w:shd w:val="clear" w:color="auto" w:fill="FFFFFF"/>
            <w:tcMar>
              <w:top w:w="130" w:type="dxa"/>
              <w:left w:w="130" w:type="dxa"/>
              <w:bottom w:w="130" w:type="dxa"/>
              <w:right w:w="130" w:type="dxa"/>
            </w:tcMar>
          </w:tcPr>
          <w:p w14:paraId="7F1B8684" w14:textId="77777777" w:rsidR="00511DAD" w:rsidRPr="00F56506" w:rsidRDefault="00000000" w:rsidP="00272EEC">
            <w:pPr>
              <w:spacing w:after="0" w:line="240" w:lineRule="auto"/>
            </w:pPr>
            <w:r w:rsidRPr="00F56506">
              <w:rPr>
                <w:sz w:val="17"/>
              </w:rPr>
              <w:t>2023-2024 comparison.</w:t>
            </w:r>
          </w:p>
        </w:tc>
      </w:tr>
      <w:tr w:rsidR="00511DAD" w:rsidRPr="00F56506" w14:paraId="2ABAFCB4" w14:textId="77777777">
        <w:trPr>
          <w:jc w:val="center"/>
        </w:trPr>
        <w:tc>
          <w:tcPr>
            <w:tcW w:w="3408" w:type="dxa"/>
            <w:shd w:val="clear" w:color="auto" w:fill="F5F8FA"/>
            <w:tcMar>
              <w:top w:w="130" w:type="dxa"/>
              <w:left w:w="130" w:type="dxa"/>
              <w:bottom w:w="130" w:type="dxa"/>
              <w:right w:w="130" w:type="dxa"/>
            </w:tcMar>
          </w:tcPr>
          <w:p w14:paraId="6BF0B161" w14:textId="77777777" w:rsidR="00511DAD" w:rsidRPr="00F56506" w:rsidRDefault="00000000" w:rsidP="00272EEC">
            <w:pPr>
              <w:spacing w:after="0" w:line="240" w:lineRule="auto"/>
            </w:pPr>
            <w:r w:rsidRPr="00F56506">
              <w:rPr>
                <w:sz w:val="17"/>
              </w:rPr>
              <w:t>2024 vs 2023</w:t>
            </w:r>
          </w:p>
        </w:tc>
        <w:tc>
          <w:tcPr>
            <w:tcW w:w="3408" w:type="dxa"/>
            <w:shd w:val="clear" w:color="auto" w:fill="F5F8FA"/>
            <w:tcMar>
              <w:top w:w="130" w:type="dxa"/>
              <w:left w:w="130" w:type="dxa"/>
              <w:bottom w:w="130" w:type="dxa"/>
              <w:right w:w="130" w:type="dxa"/>
            </w:tcMar>
          </w:tcPr>
          <w:p w14:paraId="0BD1CCC7" w14:textId="77777777" w:rsidR="00511DAD" w:rsidRPr="00F56506" w:rsidRDefault="00000000" w:rsidP="00272EEC">
            <w:pPr>
              <w:spacing w:after="0" w:line="240" w:lineRule="auto"/>
            </w:pPr>
            <w:r w:rsidRPr="00F56506">
              <w:rPr>
                <w:sz w:val="17"/>
              </w:rPr>
              <w:t>16.57%</w:t>
            </w:r>
          </w:p>
        </w:tc>
        <w:tc>
          <w:tcPr>
            <w:tcW w:w="3408" w:type="dxa"/>
            <w:shd w:val="clear" w:color="auto" w:fill="F5F8FA"/>
            <w:tcMar>
              <w:top w:w="130" w:type="dxa"/>
              <w:left w:w="130" w:type="dxa"/>
              <w:bottom w:w="130" w:type="dxa"/>
              <w:right w:w="130" w:type="dxa"/>
            </w:tcMar>
          </w:tcPr>
          <w:p w14:paraId="0AA9AF69" w14:textId="77777777" w:rsidR="00511DAD" w:rsidRPr="00F56506" w:rsidRDefault="00000000" w:rsidP="00272EEC">
            <w:pPr>
              <w:spacing w:after="0" w:line="240" w:lineRule="auto"/>
            </w:pPr>
            <w:r w:rsidRPr="00F56506">
              <w:rPr>
                <w:sz w:val="17"/>
              </w:rPr>
              <w:t>Calculated from verified values.</w:t>
            </w:r>
          </w:p>
        </w:tc>
      </w:tr>
      <w:tr w:rsidR="00511DAD" w:rsidRPr="00F56506" w14:paraId="40CCF56E" w14:textId="77777777">
        <w:trPr>
          <w:jc w:val="center"/>
        </w:trPr>
        <w:tc>
          <w:tcPr>
            <w:tcW w:w="3408" w:type="dxa"/>
            <w:shd w:val="clear" w:color="auto" w:fill="FFFFFF"/>
            <w:tcMar>
              <w:top w:w="130" w:type="dxa"/>
              <w:left w:w="130" w:type="dxa"/>
              <w:bottom w:w="130" w:type="dxa"/>
              <w:right w:w="130" w:type="dxa"/>
            </w:tcMar>
          </w:tcPr>
          <w:p w14:paraId="627D49A6" w14:textId="77777777" w:rsidR="00511DAD" w:rsidRPr="00F56506" w:rsidRDefault="00000000" w:rsidP="00272EEC">
            <w:pPr>
              <w:spacing w:after="0" w:line="240" w:lineRule="auto"/>
            </w:pPr>
            <w:r w:rsidRPr="00F56506">
              <w:rPr>
                <w:sz w:val="17"/>
              </w:rPr>
              <w:t>2012-2024 increase</w:t>
            </w:r>
          </w:p>
        </w:tc>
        <w:tc>
          <w:tcPr>
            <w:tcW w:w="3408" w:type="dxa"/>
            <w:shd w:val="clear" w:color="auto" w:fill="FFFFFF"/>
            <w:tcMar>
              <w:top w:w="130" w:type="dxa"/>
              <w:left w:w="130" w:type="dxa"/>
              <w:bottom w:w="130" w:type="dxa"/>
              <w:right w:w="130" w:type="dxa"/>
            </w:tcMar>
          </w:tcPr>
          <w:p w14:paraId="7B7F5159" w14:textId="77777777" w:rsidR="00511DAD" w:rsidRPr="00F56506" w:rsidRDefault="00000000" w:rsidP="00272EEC">
            <w:pPr>
              <w:spacing w:after="0" w:line="240" w:lineRule="auto"/>
            </w:pPr>
            <w:r w:rsidRPr="00F56506">
              <w:rPr>
                <w:sz w:val="17"/>
              </w:rPr>
              <w:t>Approximately 247%</w:t>
            </w:r>
          </w:p>
        </w:tc>
        <w:tc>
          <w:tcPr>
            <w:tcW w:w="3408" w:type="dxa"/>
            <w:shd w:val="clear" w:color="auto" w:fill="FFFFFF"/>
            <w:tcMar>
              <w:top w:w="130" w:type="dxa"/>
              <w:left w:w="130" w:type="dxa"/>
              <w:bottom w:w="130" w:type="dxa"/>
              <w:right w:w="130" w:type="dxa"/>
            </w:tcMar>
          </w:tcPr>
          <w:p w14:paraId="5E60C0AF" w14:textId="77777777" w:rsidR="00511DAD" w:rsidRPr="00F56506" w:rsidRDefault="00000000" w:rsidP="00272EEC">
            <w:pPr>
              <w:spacing w:after="0" w:line="240" w:lineRule="auto"/>
            </w:pPr>
            <w:r w:rsidRPr="00F56506">
              <w:rPr>
                <w:sz w:val="17"/>
              </w:rPr>
              <w:t>Calculated, nominal dollars.</w:t>
            </w:r>
          </w:p>
        </w:tc>
      </w:tr>
    </w:tbl>
    <w:p w14:paraId="11F06078" w14:textId="77777777" w:rsidR="00511DAD" w:rsidRPr="00F56506" w:rsidRDefault="00511DAD" w:rsidP="00272EEC">
      <w:pPr>
        <w:spacing w:after="0" w:line="240" w:lineRule="auto"/>
      </w:pPr>
    </w:p>
    <w:p w14:paraId="4DB19776" w14:textId="77777777" w:rsidR="00511DAD" w:rsidRPr="00F56506" w:rsidRDefault="00000000" w:rsidP="00272EEC">
      <w:pPr>
        <w:pStyle w:val="Heading2"/>
        <w:spacing w:line="240" w:lineRule="auto"/>
        <w:rPr>
          <w:rFonts w:ascii="Aptos" w:hAnsi="Aptos"/>
        </w:rPr>
      </w:pPr>
      <w:r w:rsidRPr="00F56506">
        <w:rPr>
          <w:rFonts w:ascii="Aptos" w:hAnsi="Aptos"/>
        </w:rPr>
        <w:t>Policy constructs introduced</w:t>
      </w:r>
    </w:p>
    <w:p w14:paraId="310C68BA" w14:textId="77777777" w:rsidR="00511DAD" w:rsidRPr="00F56506" w:rsidRDefault="00000000" w:rsidP="00272EEC">
      <w:pPr>
        <w:pStyle w:val="ListBullet"/>
        <w:spacing w:after="0" w:line="240" w:lineRule="auto"/>
      </w:pPr>
      <w:r w:rsidRPr="00F56506">
        <w:t>Citywide portfolio governance.</w:t>
      </w:r>
    </w:p>
    <w:p w14:paraId="441A7FC3" w14:textId="77777777" w:rsidR="00511DAD" w:rsidRPr="00F56506" w:rsidRDefault="00000000" w:rsidP="00272EEC">
      <w:pPr>
        <w:pStyle w:val="ListBullet"/>
        <w:spacing w:after="0" w:line="240" w:lineRule="auto"/>
      </w:pPr>
      <w:r w:rsidRPr="00F56506">
        <w:t>Growth/Stabilization/Close-Out typology.</w:t>
      </w:r>
    </w:p>
    <w:p w14:paraId="47A42DA9" w14:textId="77777777" w:rsidR="00511DAD" w:rsidRPr="00F56506" w:rsidRDefault="00000000" w:rsidP="00272EEC">
      <w:pPr>
        <w:pStyle w:val="ListBullet"/>
        <w:spacing w:after="0" w:line="240" w:lineRule="auto"/>
      </w:pPr>
      <w:r w:rsidRPr="00F56506">
        <w:t>TIF Performance Index prototype.</w:t>
      </w:r>
    </w:p>
    <w:p w14:paraId="007893BA" w14:textId="77777777" w:rsidR="00511DAD" w:rsidRPr="00F56506" w:rsidRDefault="00000000" w:rsidP="00272EEC">
      <w:pPr>
        <w:pStyle w:val="ListBullet"/>
        <w:spacing w:after="0" w:line="240" w:lineRule="auto"/>
      </w:pPr>
      <w:r w:rsidRPr="00F56506">
        <w:t>Standard portability memorandum and test.</w:t>
      </w:r>
    </w:p>
    <w:p w14:paraId="2CC7E631" w14:textId="77777777" w:rsidR="00511DAD" w:rsidRPr="00F56506" w:rsidRDefault="00000000" w:rsidP="00272EEC">
      <w:pPr>
        <w:pStyle w:val="ListBullet"/>
        <w:spacing w:after="0" w:line="240" w:lineRule="auto"/>
      </w:pPr>
      <w:r w:rsidRPr="00F56506">
        <w:t>District transparency record and open-data dashboard.</w:t>
      </w:r>
    </w:p>
    <w:p w14:paraId="0BD6B24F" w14:textId="77777777" w:rsidR="00511DAD" w:rsidRPr="00F56506" w:rsidRDefault="00000000" w:rsidP="00272EEC">
      <w:pPr>
        <w:pStyle w:val="ListBullet"/>
        <w:spacing w:after="0" w:line="240" w:lineRule="auto"/>
      </w:pPr>
      <w:r w:rsidRPr="00F56506">
        <w:t>Midpoint audit, maturity test, and close-out plan.</w:t>
      </w:r>
    </w:p>
    <w:p w14:paraId="46832AC5" w14:textId="77777777" w:rsidR="00511DAD" w:rsidRPr="00F56506" w:rsidRDefault="00000000" w:rsidP="00272EEC">
      <w:pPr>
        <w:pStyle w:val="ListBullet"/>
        <w:spacing w:after="0" w:line="240" w:lineRule="auto"/>
      </w:pPr>
      <w:r w:rsidRPr="00F56506">
        <w:t>30-, 60-, 100-, and 180-day sequence.</w:t>
      </w:r>
    </w:p>
    <w:p w14:paraId="310CB440" w14:textId="3F9BEE7D" w:rsidR="00511DAD" w:rsidRDefault="00000000" w:rsidP="00272EEC">
      <w:pPr>
        <w:pStyle w:val="Heading2"/>
        <w:spacing w:line="240" w:lineRule="auto"/>
        <w:rPr>
          <w:rFonts w:ascii="Aptos" w:hAnsi="Aptos"/>
        </w:rPr>
      </w:pPr>
      <w:r w:rsidRPr="00F56506">
        <w:rPr>
          <w:rFonts w:ascii="Aptos" w:hAnsi="Aptos"/>
        </w:rPr>
        <w:t xml:space="preserve">High-value data still </w:t>
      </w:r>
      <w:r w:rsidR="006E7252">
        <w:rPr>
          <w:rFonts w:ascii="Aptos" w:hAnsi="Aptos"/>
        </w:rPr>
        <w:t>to be reviewed:</w:t>
      </w:r>
    </w:p>
    <w:p w14:paraId="4A1EAD69" w14:textId="77777777" w:rsidR="006E7252" w:rsidRPr="006E7252" w:rsidRDefault="006E7252" w:rsidP="006E7252"/>
    <w:p w14:paraId="4F6BD3F7" w14:textId="77777777" w:rsidR="00511DAD" w:rsidRPr="00F56506" w:rsidRDefault="00000000" w:rsidP="00272EEC">
      <w:pPr>
        <w:pStyle w:val="ListBullet"/>
        <w:spacing w:after="0" w:line="240" w:lineRule="auto"/>
      </w:pPr>
      <w:r w:rsidRPr="00F56506">
        <w:t>Normalized district balances and annual flows.</w:t>
      </w:r>
    </w:p>
    <w:p w14:paraId="76AF86F7" w14:textId="77777777" w:rsidR="00511DAD" w:rsidRPr="00F56506" w:rsidRDefault="00000000" w:rsidP="00272EEC">
      <w:pPr>
        <w:pStyle w:val="ListBullet"/>
        <w:spacing w:after="0" w:line="240" w:lineRule="auto"/>
      </w:pPr>
      <w:r w:rsidRPr="00F56506">
        <w:t>Executed obligations and debt schedules.</w:t>
      </w:r>
    </w:p>
    <w:p w14:paraId="46D9A293" w14:textId="77777777" w:rsidR="00511DAD" w:rsidRPr="00F56506" w:rsidRDefault="00000000" w:rsidP="00272EEC">
      <w:pPr>
        <w:pStyle w:val="ListBullet"/>
        <w:spacing w:after="0" w:line="240" w:lineRule="auto"/>
      </w:pPr>
      <w:r w:rsidRPr="00F56506">
        <w:t>Surplus declarations and distributions.</w:t>
      </w:r>
    </w:p>
    <w:p w14:paraId="263EAA02" w14:textId="77777777" w:rsidR="00511DAD" w:rsidRPr="00F56506" w:rsidRDefault="00000000" w:rsidP="00272EEC">
      <w:pPr>
        <w:pStyle w:val="ListBullet"/>
        <w:spacing w:after="0" w:line="240" w:lineRule="auto"/>
      </w:pPr>
      <w:r w:rsidRPr="00F56506">
        <w:t>Portability by source, destination, year, and project.</w:t>
      </w:r>
    </w:p>
    <w:p w14:paraId="4D0CE8F1" w14:textId="77777777" w:rsidR="00511DAD" w:rsidRPr="00F56506" w:rsidRDefault="00000000" w:rsidP="00272EEC">
      <w:pPr>
        <w:pStyle w:val="ListBullet"/>
        <w:spacing w:after="0" w:line="240" w:lineRule="auto"/>
      </w:pPr>
      <w:r w:rsidRPr="00F56506">
        <w:t>Creation, amendment, extension, and closure dates.</w:t>
      </w:r>
    </w:p>
    <w:p w14:paraId="035133B4" w14:textId="77777777" w:rsidR="00511DAD" w:rsidRPr="00F56506" w:rsidRDefault="00000000" w:rsidP="00272EEC">
      <w:pPr>
        <w:pStyle w:val="ListBullet"/>
        <w:spacing w:after="0" w:line="240" w:lineRule="auto"/>
      </w:pPr>
      <w:r w:rsidRPr="00F56506">
        <w:t>Original/current EAV on a consistent basis.</w:t>
      </w:r>
    </w:p>
    <w:p w14:paraId="5D39452C" w14:textId="77777777" w:rsidR="00511DAD" w:rsidRPr="00F56506" w:rsidRDefault="00000000" w:rsidP="00272EEC">
      <w:pPr>
        <w:pStyle w:val="ListBullet"/>
        <w:spacing w:after="0" w:line="240" w:lineRule="auto"/>
      </w:pPr>
      <w:r w:rsidRPr="00F56506">
        <w:t>Project expenditures and completion status.</w:t>
      </w:r>
    </w:p>
    <w:p w14:paraId="791F9F72" w14:textId="77777777" w:rsidR="00511DAD" w:rsidRPr="00F56506" w:rsidRDefault="00000000" w:rsidP="00272EEC">
      <w:pPr>
        <w:pStyle w:val="ListBullet"/>
        <w:spacing w:after="0" w:line="240" w:lineRule="auto"/>
      </w:pPr>
      <w:r w:rsidRPr="00F56506">
        <w:t>Validated private leverage, jobs, housing, occupancy, and infrastructure outcomes.</w:t>
      </w:r>
    </w:p>
    <w:p w14:paraId="4D34CFED" w14:textId="77777777" w:rsidR="00511DAD" w:rsidRPr="00F56506" w:rsidRDefault="00000000" w:rsidP="00272EEC">
      <w:pPr>
        <w:pStyle w:val="ListBullet"/>
        <w:spacing w:after="0" w:line="240" w:lineRule="auto"/>
      </w:pPr>
      <w:r w:rsidRPr="00F56506">
        <w:t>Consistent definition of uncommitted balance.</w:t>
      </w:r>
    </w:p>
    <w:p w14:paraId="7E198625" w14:textId="77777777" w:rsidR="00511DAD" w:rsidRPr="00F56506" w:rsidRDefault="00000000" w:rsidP="00272EEC">
      <w:pPr>
        <w:spacing w:after="0" w:line="240" w:lineRule="auto"/>
      </w:pPr>
      <w:r w:rsidRPr="00F56506">
        <w:br w:type="page"/>
      </w:r>
    </w:p>
    <w:p w14:paraId="343C2B7C" w14:textId="77777777" w:rsidR="00511DAD" w:rsidRPr="00F56506" w:rsidRDefault="00000000" w:rsidP="00272EEC">
      <w:pPr>
        <w:spacing w:after="0" w:line="240" w:lineRule="auto"/>
      </w:pPr>
      <w:r w:rsidRPr="00F56506">
        <w:rPr>
          <w:b/>
          <w:color w:val="2A9D8F"/>
          <w:sz w:val="18"/>
        </w:rPr>
        <w:lastRenderedPageBreak/>
        <w:t>SECTION B</w:t>
      </w:r>
    </w:p>
    <w:p w14:paraId="035CF90F" w14:textId="77777777" w:rsidR="00511DAD" w:rsidRPr="00F56506" w:rsidRDefault="00000000" w:rsidP="00272EEC">
      <w:pPr>
        <w:pStyle w:val="Heading1"/>
        <w:pBdr>
          <w:bottom w:val="single" w:sz="14" w:space="6" w:color="18324A"/>
        </w:pBdr>
        <w:spacing w:line="240" w:lineRule="auto"/>
        <w:rPr>
          <w:rFonts w:ascii="Aptos" w:hAnsi="Aptos"/>
        </w:rPr>
      </w:pPr>
      <w:r w:rsidRPr="00F56506">
        <w:rPr>
          <w:rFonts w:ascii="Aptos" w:hAnsi="Aptos"/>
        </w:rPr>
        <w:t>Data-Gap Request Sheet</w:t>
      </w:r>
    </w:p>
    <w:p w14:paraId="20CB7317" w14:textId="15EF6DB6" w:rsidR="00511DAD" w:rsidRPr="00F56506" w:rsidRDefault="00511DAD" w:rsidP="00272EEC">
      <w:pPr>
        <w:spacing w:after="0" w:line="240" w:lineRule="auto"/>
      </w:pPr>
    </w:p>
    <w:tbl>
      <w:tblPr>
        <w:tblStyle w:val="TableGrid"/>
        <w:tblW w:w="0" w:type="auto"/>
        <w:jc w:val="center"/>
        <w:tblLook w:val="04A0" w:firstRow="1" w:lastRow="0" w:firstColumn="1" w:lastColumn="0" w:noHBand="0" w:noVBand="1"/>
      </w:tblPr>
      <w:tblGrid>
        <w:gridCol w:w="3404"/>
        <w:gridCol w:w="3406"/>
        <w:gridCol w:w="3404"/>
      </w:tblGrid>
      <w:tr w:rsidR="00511DAD" w:rsidRPr="00F56506" w14:paraId="44F1DC2B" w14:textId="77777777">
        <w:trPr>
          <w:jc w:val="center"/>
        </w:trPr>
        <w:tc>
          <w:tcPr>
            <w:tcW w:w="3408" w:type="dxa"/>
            <w:shd w:val="clear" w:color="auto" w:fill="18324A"/>
            <w:tcMar>
              <w:top w:w="130" w:type="dxa"/>
              <w:left w:w="130" w:type="dxa"/>
              <w:bottom w:w="130" w:type="dxa"/>
              <w:right w:w="130" w:type="dxa"/>
            </w:tcMar>
          </w:tcPr>
          <w:p w14:paraId="380B0D80" w14:textId="77777777" w:rsidR="00511DAD" w:rsidRPr="00F56506" w:rsidRDefault="00000000" w:rsidP="00272EEC">
            <w:pPr>
              <w:spacing w:after="0" w:line="240" w:lineRule="auto"/>
            </w:pPr>
            <w:r w:rsidRPr="00F56506">
              <w:rPr>
                <w:b/>
                <w:color w:val="FFFFFF"/>
                <w:sz w:val="18"/>
              </w:rPr>
              <w:t>Priority</w:t>
            </w:r>
          </w:p>
        </w:tc>
        <w:tc>
          <w:tcPr>
            <w:tcW w:w="3408" w:type="dxa"/>
            <w:shd w:val="clear" w:color="auto" w:fill="18324A"/>
            <w:tcMar>
              <w:top w:w="130" w:type="dxa"/>
              <w:left w:w="130" w:type="dxa"/>
              <w:bottom w:w="130" w:type="dxa"/>
              <w:right w:w="130" w:type="dxa"/>
            </w:tcMar>
          </w:tcPr>
          <w:p w14:paraId="1B11C0AB" w14:textId="77777777" w:rsidR="00511DAD" w:rsidRPr="00F56506" w:rsidRDefault="00000000" w:rsidP="00272EEC">
            <w:pPr>
              <w:spacing w:after="0" w:line="240" w:lineRule="auto"/>
            </w:pPr>
            <w:r w:rsidRPr="00F56506">
              <w:rPr>
                <w:b/>
                <w:color w:val="FFFFFF"/>
                <w:sz w:val="18"/>
              </w:rPr>
              <w:t>Dataset / field</w:t>
            </w:r>
          </w:p>
        </w:tc>
        <w:tc>
          <w:tcPr>
            <w:tcW w:w="3408" w:type="dxa"/>
            <w:shd w:val="clear" w:color="auto" w:fill="18324A"/>
            <w:tcMar>
              <w:top w:w="130" w:type="dxa"/>
              <w:left w:w="130" w:type="dxa"/>
              <w:bottom w:w="130" w:type="dxa"/>
              <w:right w:w="130" w:type="dxa"/>
            </w:tcMar>
          </w:tcPr>
          <w:p w14:paraId="13191972" w14:textId="77777777" w:rsidR="00511DAD" w:rsidRPr="00F56506" w:rsidRDefault="00000000" w:rsidP="00272EEC">
            <w:pPr>
              <w:spacing w:after="0" w:line="240" w:lineRule="auto"/>
            </w:pPr>
            <w:r w:rsidRPr="00F56506">
              <w:rPr>
                <w:b/>
                <w:color w:val="FFFFFF"/>
                <w:sz w:val="18"/>
              </w:rPr>
              <w:t>Why it matters</w:t>
            </w:r>
          </w:p>
        </w:tc>
      </w:tr>
      <w:tr w:rsidR="00511DAD" w:rsidRPr="00F56506" w14:paraId="301DD85A" w14:textId="77777777">
        <w:trPr>
          <w:jc w:val="center"/>
        </w:trPr>
        <w:tc>
          <w:tcPr>
            <w:tcW w:w="3408" w:type="dxa"/>
            <w:shd w:val="clear" w:color="auto" w:fill="FFFFFF"/>
            <w:tcMar>
              <w:top w:w="130" w:type="dxa"/>
              <w:left w:w="130" w:type="dxa"/>
              <w:bottom w:w="130" w:type="dxa"/>
              <w:right w:w="130" w:type="dxa"/>
            </w:tcMar>
          </w:tcPr>
          <w:p w14:paraId="0D98287A" w14:textId="77777777" w:rsidR="00511DAD" w:rsidRPr="00F56506" w:rsidRDefault="00000000" w:rsidP="00272EEC">
            <w:pPr>
              <w:spacing w:after="0" w:line="240" w:lineRule="auto"/>
            </w:pPr>
            <w:r w:rsidRPr="00F56506">
              <w:rPr>
                <w:sz w:val="17"/>
              </w:rPr>
              <w:t>1</w:t>
            </w:r>
          </w:p>
        </w:tc>
        <w:tc>
          <w:tcPr>
            <w:tcW w:w="3408" w:type="dxa"/>
            <w:shd w:val="clear" w:color="auto" w:fill="FFFFFF"/>
            <w:tcMar>
              <w:top w:w="130" w:type="dxa"/>
              <w:left w:w="130" w:type="dxa"/>
              <w:bottom w:w="130" w:type="dxa"/>
              <w:right w:w="130" w:type="dxa"/>
            </w:tcMar>
          </w:tcPr>
          <w:p w14:paraId="21559568" w14:textId="77777777" w:rsidR="00511DAD" w:rsidRPr="00F56506" w:rsidRDefault="00000000" w:rsidP="00272EEC">
            <w:pPr>
              <w:spacing w:after="0" w:line="240" w:lineRule="auto"/>
            </w:pPr>
            <w:r w:rsidRPr="00F56506">
              <w:rPr>
                <w:sz w:val="17"/>
              </w:rPr>
              <w:t>District forensic master table</w:t>
            </w:r>
          </w:p>
        </w:tc>
        <w:tc>
          <w:tcPr>
            <w:tcW w:w="3408" w:type="dxa"/>
            <w:shd w:val="clear" w:color="auto" w:fill="FFFFFF"/>
            <w:tcMar>
              <w:top w:w="130" w:type="dxa"/>
              <w:left w:w="130" w:type="dxa"/>
              <w:bottom w:w="130" w:type="dxa"/>
              <w:right w:w="130" w:type="dxa"/>
            </w:tcMar>
          </w:tcPr>
          <w:p w14:paraId="6B517C63" w14:textId="77777777" w:rsidR="00511DAD" w:rsidRPr="00F56506" w:rsidRDefault="00000000" w:rsidP="00272EEC">
            <w:pPr>
              <w:spacing w:after="0" w:line="240" w:lineRule="auto"/>
            </w:pPr>
            <w:r w:rsidRPr="00F56506">
              <w:rPr>
                <w:sz w:val="17"/>
              </w:rPr>
              <w:t>Source of truth for classification and reporting.</w:t>
            </w:r>
          </w:p>
        </w:tc>
      </w:tr>
      <w:tr w:rsidR="00511DAD" w:rsidRPr="00F56506" w14:paraId="6D4B0B76" w14:textId="77777777">
        <w:trPr>
          <w:jc w:val="center"/>
        </w:trPr>
        <w:tc>
          <w:tcPr>
            <w:tcW w:w="3408" w:type="dxa"/>
            <w:shd w:val="clear" w:color="auto" w:fill="F5F8FA"/>
            <w:tcMar>
              <w:top w:w="130" w:type="dxa"/>
              <w:left w:w="130" w:type="dxa"/>
              <w:bottom w:w="130" w:type="dxa"/>
              <w:right w:w="130" w:type="dxa"/>
            </w:tcMar>
          </w:tcPr>
          <w:p w14:paraId="0401CE3D" w14:textId="77777777" w:rsidR="00511DAD" w:rsidRPr="00F56506" w:rsidRDefault="00000000" w:rsidP="00272EEC">
            <w:pPr>
              <w:spacing w:after="0" w:line="240" w:lineRule="auto"/>
            </w:pPr>
            <w:r w:rsidRPr="00F56506">
              <w:rPr>
                <w:sz w:val="17"/>
              </w:rPr>
              <w:t>1</w:t>
            </w:r>
          </w:p>
        </w:tc>
        <w:tc>
          <w:tcPr>
            <w:tcW w:w="3408" w:type="dxa"/>
            <w:shd w:val="clear" w:color="auto" w:fill="F5F8FA"/>
            <w:tcMar>
              <w:top w:w="130" w:type="dxa"/>
              <w:left w:w="130" w:type="dxa"/>
              <w:bottom w:w="130" w:type="dxa"/>
              <w:right w:w="130" w:type="dxa"/>
            </w:tcMar>
          </w:tcPr>
          <w:p w14:paraId="5451AFF5" w14:textId="77777777" w:rsidR="00511DAD" w:rsidRPr="00F56506" w:rsidRDefault="00000000" w:rsidP="00272EEC">
            <w:pPr>
              <w:spacing w:after="0" w:line="240" w:lineRule="auto"/>
            </w:pPr>
            <w:r w:rsidRPr="00F56506">
              <w:rPr>
                <w:sz w:val="17"/>
              </w:rPr>
              <w:t>Binding obligation schedule</w:t>
            </w:r>
          </w:p>
        </w:tc>
        <w:tc>
          <w:tcPr>
            <w:tcW w:w="3408" w:type="dxa"/>
            <w:shd w:val="clear" w:color="auto" w:fill="F5F8FA"/>
            <w:tcMar>
              <w:top w:w="130" w:type="dxa"/>
              <w:left w:w="130" w:type="dxa"/>
              <w:bottom w:w="130" w:type="dxa"/>
              <w:right w:w="130" w:type="dxa"/>
            </w:tcMar>
          </w:tcPr>
          <w:p w14:paraId="5CD833E0" w14:textId="77777777" w:rsidR="00511DAD" w:rsidRPr="00F56506" w:rsidRDefault="00000000" w:rsidP="00272EEC">
            <w:pPr>
              <w:spacing w:after="0" w:line="240" w:lineRule="auto"/>
            </w:pPr>
            <w:r w:rsidRPr="00F56506">
              <w:rPr>
                <w:sz w:val="17"/>
              </w:rPr>
              <w:t>Prevents balances from being misstated as spendable.</w:t>
            </w:r>
          </w:p>
        </w:tc>
      </w:tr>
      <w:tr w:rsidR="00511DAD" w:rsidRPr="00F56506" w14:paraId="345CFBCA" w14:textId="77777777">
        <w:trPr>
          <w:jc w:val="center"/>
        </w:trPr>
        <w:tc>
          <w:tcPr>
            <w:tcW w:w="3408" w:type="dxa"/>
            <w:shd w:val="clear" w:color="auto" w:fill="FFFFFF"/>
            <w:tcMar>
              <w:top w:w="130" w:type="dxa"/>
              <w:left w:w="130" w:type="dxa"/>
              <w:bottom w:w="130" w:type="dxa"/>
              <w:right w:w="130" w:type="dxa"/>
            </w:tcMar>
          </w:tcPr>
          <w:p w14:paraId="7303AE11" w14:textId="77777777" w:rsidR="00511DAD" w:rsidRPr="00F56506" w:rsidRDefault="00000000" w:rsidP="00272EEC">
            <w:pPr>
              <w:spacing w:after="0" w:line="240" w:lineRule="auto"/>
            </w:pPr>
            <w:r w:rsidRPr="00F56506">
              <w:rPr>
                <w:sz w:val="17"/>
              </w:rPr>
              <w:t>1</w:t>
            </w:r>
          </w:p>
        </w:tc>
        <w:tc>
          <w:tcPr>
            <w:tcW w:w="3408" w:type="dxa"/>
            <w:shd w:val="clear" w:color="auto" w:fill="FFFFFF"/>
            <w:tcMar>
              <w:top w:w="130" w:type="dxa"/>
              <w:left w:w="130" w:type="dxa"/>
              <w:bottom w:w="130" w:type="dxa"/>
              <w:right w:w="130" w:type="dxa"/>
            </w:tcMar>
          </w:tcPr>
          <w:p w14:paraId="6F39BA49" w14:textId="77777777" w:rsidR="00511DAD" w:rsidRPr="00F56506" w:rsidRDefault="00000000" w:rsidP="00272EEC">
            <w:pPr>
              <w:spacing w:after="0" w:line="240" w:lineRule="auto"/>
            </w:pPr>
            <w:r w:rsidRPr="00F56506">
              <w:rPr>
                <w:sz w:val="17"/>
              </w:rPr>
              <w:t>Portability transaction file</w:t>
            </w:r>
          </w:p>
        </w:tc>
        <w:tc>
          <w:tcPr>
            <w:tcW w:w="3408" w:type="dxa"/>
            <w:shd w:val="clear" w:color="auto" w:fill="FFFFFF"/>
            <w:tcMar>
              <w:top w:w="130" w:type="dxa"/>
              <w:left w:w="130" w:type="dxa"/>
              <w:bottom w:w="130" w:type="dxa"/>
              <w:right w:w="130" w:type="dxa"/>
            </w:tcMar>
          </w:tcPr>
          <w:p w14:paraId="14AC62F5" w14:textId="77777777" w:rsidR="00511DAD" w:rsidRPr="00F56506" w:rsidRDefault="00000000" w:rsidP="00272EEC">
            <w:pPr>
              <w:spacing w:after="0" w:line="240" w:lineRule="auto"/>
            </w:pPr>
            <w:r w:rsidRPr="00F56506">
              <w:rPr>
                <w:sz w:val="17"/>
              </w:rPr>
              <w:t>Tests scale, consistency, source capacity, receiving need.</w:t>
            </w:r>
          </w:p>
        </w:tc>
      </w:tr>
      <w:tr w:rsidR="00511DAD" w:rsidRPr="00F56506" w14:paraId="2113BD2F" w14:textId="77777777">
        <w:trPr>
          <w:jc w:val="center"/>
        </w:trPr>
        <w:tc>
          <w:tcPr>
            <w:tcW w:w="3408" w:type="dxa"/>
            <w:shd w:val="clear" w:color="auto" w:fill="F5F8FA"/>
            <w:tcMar>
              <w:top w:w="130" w:type="dxa"/>
              <w:left w:w="130" w:type="dxa"/>
              <w:bottom w:w="130" w:type="dxa"/>
              <w:right w:w="130" w:type="dxa"/>
            </w:tcMar>
          </w:tcPr>
          <w:p w14:paraId="6E34435B" w14:textId="77777777" w:rsidR="00511DAD" w:rsidRPr="00F56506" w:rsidRDefault="00000000" w:rsidP="00272EEC">
            <w:pPr>
              <w:spacing w:after="0" w:line="240" w:lineRule="auto"/>
            </w:pPr>
            <w:r w:rsidRPr="00F56506">
              <w:rPr>
                <w:sz w:val="17"/>
              </w:rPr>
              <w:t>1</w:t>
            </w:r>
          </w:p>
        </w:tc>
        <w:tc>
          <w:tcPr>
            <w:tcW w:w="3408" w:type="dxa"/>
            <w:shd w:val="clear" w:color="auto" w:fill="F5F8FA"/>
            <w:tcMar>
              <w:top w:w="130" w:type="dxa"/>
              <w:left w:w="130" w:type="dxa"/>
              <w:bottom w:w="130" w:type="dxa"/>
              <w:right w:w="130" w:type="dxa"/>
            </w:tcMar>
          </w:tcPr>
          <w:p w14:paraId="6608E521" w14:textId="77777777" w:rsidR="00511DAD" w:rsidRPr="00F56506" w:rsidRDefault="00000000" w:rsidP="00272EEC">
            <w:pPr>
              <w:spacing w:after="0" w:line="240" w:lineRule="auto"/>
            </w:pPr>
            <w:r w:rsidRPr="00F56506">
              <w:rPr>
                <w:sz w:val="17"/>
              </w:rPr>
              <w:t>Original/current EAV series</w:t>
            </w:r>
          </w:p>
        </w:tc>
        <w:tc>
          <w:tcPr>
            <w:tcW w:w="3408" w:type="dxa"/>
            <w:shd w:val="clear" w:color="auto" w:fill="F5F8FA"/>
            <w:tcMar>
              <w:top w:w="130" w:type="dxa"/>
              <w:left w:w="130" w:type="dxa"/>
              <w:bottom w:w="130" w:type="dxa"/>
              <w:right w:w="130" w:type="dxa"/>
            </w:tcMar>
          </w:tcPr>
          <w:p w14:paraId="7E4B128E" w14:textId="77777777" w:rsidR="00511DAD" w:rsidRPr="00F56506" w:rsidRDefault="00000000" w:rsidP="00272EEC">
            <w:pPr>
              <w:spacing w:after="0" w:line="240" w:lineRule="auto"/>
            </w:pPr>
            <w:r w:rsidRPr="00F56506">
              <w:rPr>
                <w:sz w:val="17"/>
              </w:rPr>
              <w:t>Supports maturity and tax-base analysis.</w:t>
            </w:r>
          </w:p>
        </w:tc>
      </w:tr>
      <w:tr w:rsidR="00511DAD" w:rsidRPr="00F56506" w14:paraId="0A638037" w14:textId="77777777">
        <w:trPr>
          <w:jc w:val="center"/>
        </w:trPr>
        <w:tc>
          <w:tcPr>
            <w:tcW w:w="3408" w:type="dxa"/>
            <w:shd w:val="clear" w:color="auto" w:fill="FFFFFF"/>
            <w:tcMar>
              <w:top w:w="130" w:type="dxa"/>
              <w:left w:w="130" w:type="dxa"/>
              <w:bottom w:w="130" w:type="dxa"/>
              <w:right w:w="130" w:type="dxa"/>
            </w:tcMar>
          </w:tcPr>
          <w:p w14:paraId="0D4D879F" w14:textId="77777777" w:rsidR="00511DAD" w:rsidRPr="00F56506" w:rsidRDefault="00000000" w:rsidP="00272EEC">
            <w:pPr>
              <w:spacing w:after="0" w:line="240" w:lineRule="auto"/>
            </w:pPr>
            <w:r w:rsidRPr="00F56506">
              <w:rPr>
                <w:sz w:val="17"/>
              </w:rPr>
              <w:t>2</w:t>
            </w:r>
          </w:p>
        </w:tc>
        <w:tc>
          <w:tcPr>
            <w:tcW w:w="3408" w:type="dxa"/>
            <w:shd w:val="clear" w:color="auto" w:fill="FFFFFF"/>
            <w:tcMar>
              <w:top w:w="130" w:type="dxa"/>
              <w:left w:w="130" w:type="dxa"/>
              <w:bottom w:w="130" w:type="dxa"/>
              <w:right w:w="130" w:type="dxa"/>
            </w:tcMar>
          </w:tcPr>
          <w:p w14:paraId="7258A68A" w14:textId="77777777" w:rsidR="00511DAD" w:rsidRPr="00F56506" w:rsidRDefault="00000000" w:rsidP="00272EEC">
            <w:pPr>
              <w:spacing w:after="0" w:line="240" w:lineRule="auto"/>
            </w:pPr>
            <w:r w:rsidRPr="00F56506">
              <w:rPr>
                <w:sz w:val="17"/>
              </w:rPr>
              <w:t>Project completion/expenditure file</w:t>
            </w:r>
          </w:p>
        </w:tc>
        <w:tc>
          <w:tcPr>
            <w:tcW w:w="3408" w:type="dxa"/>
            <w:shd w:val="clear" w:color="auto" w:fill="FFFFFF"/>
            <w:tcMar>
              <w:top w:w="130" w:type="dxa"/>
              <w:left w:w="130" w:type="dxa"/>
              <w:bottom w:w="130" w:type="dxa"/>
              <w:right w:w="130" w:type="dxa"/>
            </w:tcMar>
          </w:tcPr>
          <w:p w14:paraId="4DF9FCC9" w14:textId="77777777" w:rsidR="00511DAD" w:rsidRPr="00F56506" w:rsidRDefault="00000000" w:rsidP="00272EEC">
            <w:pPr>
              <w:spacing w:after="0" w:line="240" w:lineRule="auto"/>
            </w:pPr>
            <w:r w:rsidRPr="00F56506">
              <w:rPr>
                <w:sz w:val="17"/>
              </w:rPr>
              <w:t>Distinguishes authorization from delivery.</w:t>
            </w:r>
          </w:p>
        </w:tc>
      </w:tr>
      <w:tr w:rsidR="00511DAD" w:rsidRPr="00F56506" w14:paraId="3494216E" w14:textId="77777777">
        <w:trPr>
          <w:jc w:val="center"/>
        </w:trPr>
        <w:tc>
          <w:tcPr>
            <w:tcW w:w="3408" w:type="dxa"/>
            <w:shd w:val="clear" w:color="auto" w:fill="F5F8FA"/>
            <w:tcMar>
              <w:top w:w="130" w:type="dxa"/>
              <w:left w:w="130" w:type="dxa"/>
              <w:bottom w:w="130" w:type="dxa"/>
              <w:right w:w="130" w:type="dxa"/>
            </w:tcMar>
          </w:tcPr>
          <w:p w14:paraId="263A859D" w14:textId="77777777" w:rsidR="00511DAD" w:rsidRPr="00F56506" w:rsidRDefault="00000000" w:rsidP="00272EEC">
            <w:pPr>
              <w:spacing w:after="0" w:line="240" w:lineRule="auto"/>
            </w:pPr>
            <w:r w:rsidRPr="00F56506">
              <w:rPr>
                <w:sz w:val="17"/>
              </w:rPr>
              <w:t>2</w:t>
            </w:r>
          </w:p>
        </w:tc>
        <w:tc>
          <w:tcPr>
            <w:tcW w:w="3408" w:type="dxa"/>
            <w:shd w:val="clear" w:color="auto" w:fill="F5F8FA"/>
            <w:tcMar>
              <w:top w:w="130" w:type="dxa"/>
              <w:left w:w="130" w:type="dxa"/>
              <w:bottom w:w="130" w:type="dxa"/>
              <w:right w:w="130" w:type="dxa"/>
            </w:tcMar>
          </w:tcPr>
          <w:p w14:paraId="2E24A463" w14:textId="77777777" w:rsidR="00511DAD" w:rsidRPr="00F56506" w:rsidRDefault="00000000" w:rsidP="00272EEC">
            <w:pPr>
              <w:spacing w:after="0" w:line="240" w:lineRule="auto"/>
            </w:pPr>
            <w:r w:rsidRPr="00F56506">
              <w:rPr>
                <w:sz w:val="17"/>
              </w:rPr>
              <w:t>Surplus history</w:t>
            </w:r>
          </w:p>
        </w:tc>
        <w:tc>
          <w:tcPr>
            <w:tcW w:w="3408" w:type="dxa"/>
            <w:shd w:val="clear" w:color="auto" w:fill="F5F8FA"/>
            <w:tcMar>
              <w:top w:w="130" w:type="dxa"/>
              <w:left w:w="130" w:type="dxa"/>
              <w:bottom w:w="130" w:type="dxa"/>
              <w:right w:w="130" w:type="dxa"/>
            </w:tcMar>
          </w:tcPr>
          <w:p w14:paraId="4EC34753" w14:textId="77777777" w:rsidR="00511DAD" w:rsidRPr="00F56506" w:rsidRDefault="00000000" w:rsidP="00272EEC">
            <w:pPr>
              <w:spacing w:after="0" w:line="240" w:lineRule="auto"/>
            </w:pPr>
            <w:r w:rsidRPr="00F56506">
              <w:rPr>
                <w:sz w:val="17"/>
              </w:rPr>
              <w:t>Tests consistency across time.</w:t>
            </w:r>
          </w:p>
        </w:tc>
      </w:tr>
      <w:tr w:rsidR="00511DAD" w:rsidRPr="00F56506" w14:paraId="5CB74B51" w14:textId="77777777">
        <w:trPr>
          <w:jc w:val="center"/>
        </w:trPr>
        <w:tc>
          <w:tcPr>
            <w:tcW w:w="3408" w:type="dxa"/>
            <w:shd w:val="clear" w:color="auto" w:fill="FFFFFF"/>
            <w:tcMar>
              <w:top w:w="130" w:type="dxa"/>
              <w:left w:w="130" w:type="dxa"/>
              <w:bottom w:w="130" w:type="dxa"/>
              <w:right w:w="130" w:type="dxa"/>
            </w:tcMar>
          </w:tcPr>
          <w:p w14:paraId="31D3507A" w14:textId="77777777" w:rsidR="00511DAD" w:rsidRPr="00F56506" w:rsidRDefault="00000000" w:rsidP="00272EEC">
            <w:pPr>
              <w:spacing w:after="0" w:line="240" w:lineRule="auto"/>
            </w:pPr>
            <w:r w:rsidRPr="00F56506">
              <w:rPr>
                <w:sz w:val="17"/>
              </w:rPr>
              <w:t>2</w:t>
            </w:r>
          </w:p>
        </w:tc>
        <w:tc>
          <w:tcPr>
            <w:tcW w:w="3408" w:type="dxa"/>
            <w:shd w:val="clear" w:color="auto" w:fill="FFFFFF"/>
            <w:tcMar>
              <w:top w:w="130" w:type="dxa"/>
              <w:left w:w="130" w:type="dxa"/>
              <w:bottom w:w="130" w:type="dxa"/>
              <w:right w:w="130" w:type="dxa"/>
            </w:tcMar>
          </w:tcPr>
          <w:p w14:paraId="12C33828" w14:textId="77777777" w:rsidR="00511DAD" w:rsidRPr="00F56506" w:rsidRDefault="00000000" w:rsidP="00272EEC">
            <w:pPr>
              <w:spacing w:after="0" w:line="240" w:lineRule="auto"/>
            </w:pPr>
            <w:r w:rsidRPr="00F56506">
              <w:rPr>
                <w:sz w:val="17"/>
              </w:rPr>
              <w:t>District age/legal status</w:t>
            </w:r>
          </w:p>
        </w:tc>
        <w:tc>
          <w:tcPr>
            <w:tcW w:w="3408" w:type="dxa"/>
            <w:shd w:val="clear" w:color="auto" w:fill="FFFFFF"/>
            <w:tcMar>
              <w:top w:w="130" w:type="dxa"/>
              <w:left w:w="130" w:type="dxa"/>
              <w:bottom w:w="130" w:type="dxa"/>
              <w:right w:w="130" w:type="dxa"/>
            </w:tcMar>
          </w:tcPr>
          <w:p w14:paraId="664E1638" w14:textId="77777777" w:rsidR="00511DAD" w:rsidRPr="00F56506" w:rsidRDefault="00000000" w:rsidP="00272EEC">
            <w:pPr>
              <w:spacing w:after="0" w:line="240" w:lineRule="auto"/>
            </w:pPr>
            <w:r w:rsidRPr="00F56506">
              <w:rPr>
                <w:sz w:val="17"/>
              </w:rPr>
              <w:t>Supports extension and close-out review.</w:t>
            </w:r>
          </w:p>
        </w:tc>
      </w:tr>
      <w:tr w:rsidR="00511DAD" w:rsidRPr="00F56506" w14:paraId="4B702A7A" w14:textId="77777777">
        <w:trPr>
          <w:jc w:val="center"/>
        </w:trPr>
        <w:tc>
          <w:tcPr>
            <w:tcW w:w="3408" w:type="dxa"/>
            <w:shd w:val="clear" w:color="auto" w:fill="F5F8FA"/>
            <w:tcMar>
              <w:top w:w="130" w:type="dxa"/>
              <w:left w:w="130" w:type="dxa"/>
              <w:bottom w:w="130" w:type="dxa"/>
              <w:right w:w="130" w:type="dxa"/>
            </w:tcMar>
          </w:tcPr>
          <w:p w14:paraId="7ED14E9E" w14:textId="77777777" w:rsidR="00511DAD" w:rsidRPr="00F56506" w:rsidRDefault="00000000" w:rsidP="00272EEC">
            <w:pPr>
              <w:spacing w:after="0" w:line="240" w:lineRule="auto"/>
            </w:pPr>
            <w:r w:rsidRPr="00F56506">
              <w:rPr>
                <w:sz w:val="17"/>
              </w:rPr>
              <w:t>2</w:t>
            </w:r>
          </w:p>
        </w:tc>
        <w:tc>
          <w:tcPr>
            <w:tcW w:w="3408" w:type="dxa"/>
            <w:shd w:val="clear" w:color="auto" w:fill="F5F8FA"/>
            <w:tcMar>
              <w:top w:w="130" w:type="dxa"/>
              <w:left w:w="130" w:type="dxa"/>
              <w:bottom w:w="130" w:type="dxa"/>
              <w:right w:w="130" w:type="dxa"/>
            </w:tcMar>
          </w:tcPr>
          <w:p w14:paraId="3EC20EB1" w14:textId="77777777" w:rsidR="00511DAD" w:rsidRPr="00F56506" w:rsidRDefault="00000000" w:rsidP="00272EEC">
            <w:pPr>
              <w:spacing w:after="0" w:line="240" w:lineRule="auto"/>
            </w:pPr>
            <w:r w:rsidRPr="00F56506">
              <w:rPr>
                <w:sz w:val="17"/>
              </w:rPr>
              <w:t>Outcome measures</w:t>
            </w:r>
          </w:p>
        </w:tc>
        <w:tc>
          <w:tcPr>
            <w:tcW w:w="3408" w:type="dxa"/>
            <w:shd w:val="clear" w:color="auto" w:fill="F5F8FA"/>
            <w:tcMar>
              <w:top w:w="130" w:type="dxa"/>
              <w:left w:w="130" w:type="dxa"/>
              <w:bottom w:w="130" w:type="dxa"/>
              <w:right w:w="130" w:type="dxa"/>
            </w:tcMar>
          </w:tcPr>
          <w:p w14:paraId="35BA698E" w14:textId="77777777" w:rsidR="00511DAD" w:rsidRPr="00F56506" w:rsidRDefault="00000000" w:rsidP="00272EEC">
            <w:pPr>
              <w:spacing w:after="0" w:line="240" w:lineRule="auto"/>
            </w:pPr>
            <w:r w:rsidRPr="00F56506">
              <w:rPr>
                <w:sz w:val="17"/>
              </w:rPr>
              <w:t>Enables credible scoring.</w:t>
            </w:r>
          </w:p>
        </w:tc>
      </w:tr>
      <w:tr w:rsidR="00511DAD" w:rsidRPr="00F56506" w14:paraId="7719DC1F" w14:textId="77777777">
        <w:trPr>
          <w:jc w:val="center"/>
        </w:trPr>
        <w:tc>
          <w:tcPr>
            <w:tcW w:w="3408" w:type="dxa"/>
            <w:shd w:val="clear" w:color="auto" w:fill="FFFFFF"/>
            <w:tcMar>
              <w:top w:w="130" w:type="dxa"/>
              <w:left w:w="130" w:type="dxa"/>
              <w:bottom w:w="130" w:type="dxa"/>
              <w:right w:w="130" w:type="dxa"/>
            </w:tcMar>
          </w:tcPr>
          <w:p w14:paraId="291A6583" w14:textId="77777777" w:rsidR="00511DAD" w:rsidRPr="00F56506" w:rsidRDefault="00000000" w:rsidP="00272EEC">
            <w:pPr>
              <w:spacing w:after="0" w:line="240" w:lineRule="auto"/>
            </w:pPr>
            <w:r w:rsidRPr="00F56506">
              <w:rPr>
                <w:sz w:val="17"/>
              </w:rPr>
              <w:t>3</w:t>
            </w:r>
          </w:p>
        </w:tc>
        <w:tc>
          <w:tcPr>
            <w:tcW w:w="3408" w:type="dxa"/>
            <w:shd w:val="clear" w:color="auto" w:fill="FFFFFF"/>
            <w:tcMar>
              <w:top w:w="130" w:type="dxa"/>
              <w:left w:w="130" w:type="dxa"/>
              <w:bottom w:w="130" w:type="dxa"/>
              <w:right w:w="130" w:type="dxa"/>
            </w:tcMar>
          </w:tcPr>
          <w:p w14:paraId="74B5083C" w14:textId="77777777" w:rsidR="00511DAD" w:rsidRPr="00F56506" w:rsidRDefault="00000000" w:rsidP="00272EEC">
            <w:pPr>
              <w:spacing w:after="0" w:line="240" w:lineRule="auto"/>
            </w:pPr>
            <w:r w:rsidRPr="00F56506">
              <w:rPr>
                <w:sz w:val="17"/>
              </w:rPr>
              <w:t>Case-study files</w:t>
            </w:r>
          </w:p>
        </w:tc>
        <w:tc>
          <w:tcPr>
            <w:tcW w:w="3408" w:type="dxa"/>
            <w:shd w:val="clear" w:color="auto" w:fill="FFFFFF"/>
            <w:tcMar>
              <w:top w:w="130" w:type="dxa"/>
              <w:left w:w="130" w:type="dxa"/>
              <w:bottom w:w="130" w:type="dxa"/>
              <w:right w:w="130" w:type="dxa"/>
            </w:tcMar>
          </w:tcPr>
          <w:p w14:paraId="6009E818" w14:textId="77777777" w:rsidR="00511DAD" w:rsidRPr="00F56506" w:rsidRDefault="00000000" w:rsidP="00272EEC">
            <w:pPr>
              <w:spacing w:after="0" w:line="240" w:lineRule="auto"/>
            </w:pPr>
            <w:r w:rsidRPr="00F56506">
              <w:rPr>
                <w:sz w:val="17"/>
              </w:rPr>
              <w:t>Supports 3-5 public district profiles.</w:t>
            </w:r>
          </w:p>
        </w:tc>
      </w:tr>
      <w:tr w:rsidR="00511DAD" w:rsidRPr="00F56506" w14:paraId="513E0BC1" w14:textId="77777777">
        <w:trPr>
          <w:jc w:val="center"/>
        </w:trPr>
        <w:tc>
          <w:tcPr>
            <w:tcW w:w="3408" w:type="dxa"/>
            <w:shd w:val="clear" w:color="auto" w:fill="F5F8FA"/>
            <w:tcMar>
              <w:top w:w="130" w:type="dxa"/>
              <w:left w:w="130" w:type="dxa"/>
              <w:bottom w:w="130" w:type="dxa"/>
              <w:right w:w="130" w:type="dxa"/>
            </w:tcMar>
          </w:tcPr>
          <w:p w14:paraId="361E97AF" w14:textId="77777777" w:rsidR="00511DAD" w:rsidRPr="00F56506" w:rsidRDefault="00000000" w:rsidP="00272EEC">
            <w:pPr>
              <w:spacing w:after="0" w:line="240" w:lineRule="auto"/>
            </w:pPr>
            <w:r w:rsidRPr="00F56506">
              <w:rPr>
                <w:sz w:val="17"/>
              </w:rPr>
              <w:t>3</w:t>
            </w:r>
          </w:p>
        </w:tc>
        <w:tc>
          <w:tcPr>
            <w:tcW w:w="3408" w:type="dxa"/>
            <w:shd w:val="clear" w:color="auto" w:fill="F5F8FA"/>
            <w:tcMar>
              <w:top w:w="130" w:type="dxa"/>
              <w:left w:w="130" w:type="dxa"/>
              <w:bottom w:w="130" w:type="dxa"/>
              <w:right w:w="130" w:type="dxa"/>
            </w:tcMar>
          </w:tcPr>
          <w:p w14:paraId="4EADE92B" w14:textId="77777777" w:rsidR="00511DAD" w:rsidRPr="00F56506" w:rsidRDefault="00000000" w:rsidP="00272EEC">
            <w:pPr>
              <w:spacing w:after="0" w:line="240" w:lineRule="auto"/>
            </w:pPr>
            <w:r w:rsidRPr="00F56506">
              <w:rPr>
                <w:sz w:val="17"/>
              </w:rPr>
              <w:t>Chart source sheets</w:t>
            </w:r>
          </w:p>
        </w:tc>
        <w:tc>
          <w:tcPr>
            <w:tcW w:w="3408" w:type="dxa"/>
            <w:shd w:val="clear" w:color="auto" w:fill="F5F8FA"/>
            <w:tcMar>
              <w:top w:w="130" w:type="dxa"/>
              <w:left w:w="130" w:type="dxa"/>
              <w:bottom w:w="130" w:type="dxa"/>
              <w:right w:w="130" w:type="dxa"/>
            </w:tcMar>
          </w:tcPr>
          <w:p w14:paraId="00D6F33D" w14:textId="77777777" w:rsidR="00511DAD" w:rsidRPr="00F56506" w:rsidRDefault="00000000" w:rsidP="00272EEC">
            <w:pPr>
              <w:spacing w:after="0" w:line="240" w:lineRule="auto"/>
            </w:pPr>
            <w:r w:rsidRPr="00F56506">
              <w:rPr>
                <w:sz w:val="17"/>
              </w:rPr>
              <w:t>Creates reproducible exhibits and audit trail.</w:t>
            </w:r>
          </w:p>
        </w:tc>
      </w:tr>
    </w:tbl>
    <w:p w14:paraId="5455C57A" w14:textId="77777777" w:rsidR="00511DAD" w:rsidRPr="00F56506" w:rsidRDefault="00511DAD" w:rsidP="00272EEC">
      <w:pPr>
        <w:spacing w:after="0" w:line="240" w:lineRule="auto"/>
      </w:pPr>
    </w:p>
    <w:tbl>
      <w:tblPr>
        <w:tblW w:w="0" w:type="auto"/>
        <w:jc w:val="center"/>
        <w:tblLook w:val="04A0" w:firstRow="1" w:lastRow="0" w:firstColumn="1" w:lastColumn="0" w:noHBand="0" w:noVBand="1"/>
      </w:tblPr>
      <w:tblGrid>
        <w:gridCol w:w="10199"/>
      </w:tblGrid>
      <w:tr w:rsidR="00511DAD" w:rsidRPr="00F56506" w14:paraId="42002F22" w14:textId="77777777">
        <w:trPr>
          <w:jc w:val="center"/>
        </w:trPr>
        <w:tc>
          <w:tcPr>
            <w:tcW w:w="10224" w:type="dxa"/>
            <w:tcBorders>
              <w:left w:val="single" w:sz="20" w:space="0" w:color="246A8A"/>
            </w:tcBorders>
            <w:shd w:val="clear" w:color="auto" w:fill="EAF1F5"/>
            <w:tcMar>
              <w:top w:w="190" w:type="dxa"/>
              <w:left w:w="190" w:type="dxa"/>
              <w:bottom w:w="190" w:type="dxa"/>
              <w:right w:w="190" w:type="dxa"/>
            </w:tcMar>
          </w:tcPr>
          <w:p w14:paraId="7985C0DE" w14:textId="77777777" w:rsidR="00511DAD" w:rsidRPr="00F56506" w:rsidRDefault="00000000" w:rsidP="00272EEC">
            <w:pPr>
              <w:spacing w:after="0" w:line="240" w:lineRule="auto"/>
            </w:pPr>
            <w:r w:rsidRPr="00F56506">
              <w:rPr>
                <w:b/>
                <w:color w:val="246A8A"/>
                <w:sz w:val="20"/>
              </w:rPr>
              <w:t>PUBLICATION STATUS</w:t>
            </w:r>
          </w:p>
          <w:p w14:paraId="1B4505E7" w14:textId="2EFADACA" w:rsidR="00511DAD" w:rsidRPr="00F56506" w:rsidRDefault="00000000" w:rsidP="00272EEC">
            <w:pPr>
              <w:spacing w:after="0" w:line="240" w:lineRule="auto"/>
            </w:pPr>
            <w:r w:rsidRPr="00F56506">
              <w:t xml:space="preserve">This report is suitable for release as a governing blueprint. A later forensic edition </w:t>
            </w:r>
            <w:r w:rsidR="00882491">
              <w:t xml:space="preserve">will </w:t>
            </w:r>
            <w:r w:rsidRPr="00F56506">
              <w:t>add district rankings, case studies, and quantified surplus scenarios once the normalized master dataset is supplied.</w:t>
            </w:r>
          </w:p>
        </w:tc>
      </w:tr>
    </w:tbl>
    <w:p w14:paraId="1C1CF861" w14:textId="77777777" w:rsidR="00511DAD" w:rsidRPr="00F56506" w:rsidRDefault="00511DAD" w:rsidP="00272EEC">
      <w:pPr>
        <w:spacing w:after="0" w:line="240" w:lineRule="auto"/>
      </w:pPr>
    </w:p>
    <w:p w14:paraId="1E717097" w14:textId="77777777" w:rsidR="00511DAD" w:rsidRPr="00F56506" w:rsidRDefault="00000000" w:rsidP="00272EEC">
      <w:pPr>
        <w:spacing w:after="0" w:line="240" w:lineRule="auto"/>
      </w:pPr>
      <w:r w:rsidRPr="00F56506">
        <w:br w:type="page"/>
      </w:r>
    </w:p>
    <w:p w14:paraId="00F9120C" w14:textId="77777777" w:rsidR="00511DAD" w:rsidRPr="00F56506" w:rsidRDefault="00000000" w:rsidP="00272EEC">
      <w:pPr>
        <w:spacing w:after="0" w:line="240" w:lineRule="auto"/>
      </w:pPr>
      <w:r w:rsidRPr="00F56506">
        <w:rPr>
          <w:b/>
          <w:color w:val="2A9D8F"/>
          <w:sz w:val="18"/>
        </w:rPr>
        <w:lastRenderedPageBreak/>
        <w:t>SECTION C</w:t>
      </w:r>
    </w:p>
    <w:p w14:paraId="2A4C669B" w14:textId="512DF86E" w:rsidR="00511DAD" w:rsidRPr="00F56506" w:rsidRDefault="00000000" w:rsidP="00C67C17">
      <w:pPr>
        <w:pStyle w:val="Heading1"/>
        <w:pBdr>
          <w:bottom w:val="single" w:sz="14" w:space="6" w:color="18324A"/>
        </w:pBdr>
        <w:spacing w:line="240" w:lineRule="auto"/>
        <w:rPr>
          <w:rFonts w:ascii="Aptos" w:hAnsi="Aptos"/>
        </w:rPr>
      </w:pPr>
      <w:r w:rsidRPr="00F56506">
        <w:rPr>
          <w:rFonts w:ascii="Aptos" w:hAnsi="Aptos"/>
        </w:rPr>
        <w:t>Source Notes</w:t>
      </w:r>
    </w:p>
    <w:p w14:paraId="06B20B5A" w14:textId="77777777" w:rsidR="00C67C17" w:rsidRDefault="00C67C17" w:rsidP="00272EEC">
      <w:pPr>
        <w:keepLines/>
        <w:spacing w:after="0" w:line="240" w:lineRule="auto"/>
      </w:pPr>
    </w:p>
    <w:p w14:paraId="500919E8" w14:textId="6BA07B96" w:rsidR="00511DAD" w:rsidRPr="00F56506" w:rsidRDefault="00000000" w:rsidP="00272EEC">
      <w:pPr>
        <w:keepLines/>
        <w:spacing w:after="0" w:line="240" w:lineRule="auto"/>
      </w:pPr>
      <w:r w:rsidRPr="00F56506">
        <w:t xml:space="preserve">This report was developed from the campaign's July 14, </w:t>
      </w:r>
      <w:proofErr w:type="gramStart"/>
      <w:r w:rsidRPr="00F56506">
        <w:t>2026</w:t>
      </w:r>
      <w:proofErr w:type="gramEnd"/>
      <w:r w:rsidRPr="00F56506">
        <w:t xml:space="preserve"> TIF Research Handoff Packet, the external collaborator brief, the May 28, </w:t>
      </w:r>
      <w:proofErr w:type="gramStart"/>
      <w:r w:rsidRPr="00F56506">
        <w:t>2026</w:t>
      </w:r>
      <w:proofErr w:type="gramEnd"/>
      <w:r w:rsidRPr="00F56506">
        <w:t xml:space="preserve"> public TIF reform report, and the accompanying July 14, </w:t>
      </w:r>
      <w:proofErr w:type="gramStart"/>
      <w:r w:rsidRPr="00F56506">
        <w:t>2026</w:t>
      </w:r>
      <w:proofErr w:type="gramEnd"/>
      <w:r w:rsidRPr="00F56506">
        <w:t xml:space="preserve"> press-release framing.</w:t>
      </w:r>
    </w:p>
    <w:p w14:paraId="0833ABB5" w14:textId="26DE7232" w:rsidR="00511DAD" w:rsidRDefault="00000000" w:rsidP="00272EEC">
      <w:pPr>
        <w:pStyle w:val="Heading2"/>
        <w:spacing w:line="240" w:lineRule="auto"/>
        <w:rPr>
          <w:rFonts w:ascii="Aptos" w:hAnsi="Aptos"/>
        </w:rPr>
      </w:pPr>
      <w:r w:rsidRPr="00F56506">
        <w:rPr>
          <w:rFonts w:ascii="Aptos" w:hAnsi="Aptos"/>
        </w:rPr>
        <w:t>Primary research references</w:t>
      </w:r>
    </w:p>
    <w:p w14:paraId="4080F27F" w14:textId="77777777" w:rsidR="00882491" w:rsidRPr="00882491" w:rsidRDefault="00882491" w:rsidP="00272EEC">
      <w:pPr>
        <w:spacing w:after="0" w:line="240" w:lineRule="auto"/>
      </w:pPr>
    </w:p>
    <w:p w14:paraId="414EEABD" w14:textId="77777777" w:rsidR="00511DAD" w:rsidRPr="00F56506" w:rsidRDefault="00000000" w:rsidP="00272EEC">
      <w:pPr>
        <w:pStyle w:val="ListBullet"/>
        <w:spacing w:after="0" w:line="240" w:lineRule="auto"/>
      </w:pPr>
      <w:r w:rsidRPr="00F56506">
        <w:t>Cook County Clerk TIF district summary comparisons for 2011-2012 and 2023-2024.</w:t>
      </w:r>
    </w:p>
    <w:p w14:paraId="0B90200B" w14:textId="77777777" w:rsidR="00511DAD" w:rsidRPr="00F56506" w:rsidRDefault="00000000" w:rsidP="00272EEC">
      <w:pPr>
        <w:pStyle w:val="ListBullet"/>
        <w:spacing w:after="0" w:line="240" w:lineRule="auto"/>
      </w:pPr>
      <w:r w:rsidRPr="00F56506">
        <w:t>Cook County Treasurer long-run TIF context referenced in March 2026 campaign research.</w:t>
      </w:r>
    </w:p>
    <w:p w14:paraId="3329EF22" w14:textId="77777777" w:rsidR="00511DAD" w:rsidRPr="00F56506" w:rsidRDefault="00000000" w:rsidP="00272EEC">
      <w:pPr>
        <w:pStyle w:val="ListBullet"/>
        <w:spacing w:after="0" w:line="240" w:lineRule="auto"/>
      </w:pPr>
      <w:r w:rsidRPr="00F56506">
        <w:t>City of Chicago annual appropriation, budget, and district disclosure materials.</w:t>
      </w:r>
    </w:p>
    <w:p w14:paraId="6AC7BA79" w14:textId="77777777" w:rsidR="00511DAD" w:rsidRPr="00F56506" w:rsidRDefault="00000000" w:rsidP="00272EEC">
      <w:pPr>
        <w:pStyle w:val="ListBullet"/>
        <w:spacing w:after="0" w:line="240" w:lineRule="auto"/>
      </w:pPr>
      <w:r w:rsidRPr="00F56506">
        <w:t>Campaign TIF reform drafts, donor brief, Finance Committee edition, and chart assets identified in the handoff.</w:t>
      </w:r>
    </w:p>
    <w:p w14:paraId="2E0E7B2F" w14:textId="1E6591E5" w:rsidR="00511DAD" w:rsidRPr="00F56506" w:rsidRDefault="00511DAD" w:rsidP="00272EEC">
      <w:pPr>
        <w:pStyle w:val="ListBullet"/>
        <w:numPr>
          <w:ilvl w:val="0"/>
          <w:numId w:val="0"/>
        </w:numPr>
        <w:spacing w:after="0" w:line="240" w:lineRule="auto"/>
        <w:ind w:left="360"/>
      </w:pPr>
    </w:p>
    <w:p w14:paraId="71942A5D" w14:textId="77777777" w:rsidR="00F56506" w:rsidRDefault="00F56506" w:rsidP="00272EEC">
      <w:pPr>
        <w:spacing w:after="0" w:line="240" w:lineRule="auto"/>
        <w:jc w:val="center"/>
        <w:rPr>
          <w:color w:val="5D6872"/>
          <w:sz w:val="16"/>
        </w:rPr>
      </w:pPr>
    </w:p>
    <w:p w14:paraId="0BAC403F" w14:textId="77777777" w:rsidR="00272EEC" w:rsidRDefault="00272EEC" w:rsidP="00272EEC">
      <w:pPr>
        <w:spacing w:after="0" w:line="240" w:lineRule="auto"/>
        <w:rPr>
          <w:color w:val="5D6872"/>
          <w:sz w:val="24"/>
          <w:szCs w:val="24"/>
        </w:rPr>
      </w:pPr>
      <w:r>
        <w:rPr>
          <w:color w:val="5D6872"/>
          <w:sz w:val="24"/>
          <w:szCs w:val="24"/>
        </w:rPr>
        <w:t>P</w:t>
      </w:r>
      <w:r w:rsidR="00000000" w:rsidRPr="00272EEC">
        <w:rPr>
          <w:color w:val="5D6872"/>
          <w:sz w:val="24"/>
          <w:szCs w:val="24"/>
        </w:rPr>
        <w:t xml:space="preserve">aid for by Cardenas4Chicago. </w:t>
      </w:r>
    </w:p>
    <w:p w14:paraId="39928745" w14:textId="77777777" w:rsidR="00272EEC" w:rsidRDefault="00272EEC" w:rsidP="00272EEC">
      <w:pPr>
        <w:spacing w:after="0" w:line="240" w:lineRule="auto"/>
        <w:rPr>
          <w:color w:val="5D6872"/>
          <w:sz w:val="24"/>
          <w:szCs w:val="24"/>
        </w:rPr>
      </w:pPr>
    </w:p>
    <w:p w14:paraId="7C988E37" w14:textId="51E42CAB" w:rsidR="00511DAD" w:rsidRPr="00F56506" w:rsidRDefault="00000000" w:rsidP="00272EEC">
      <w:pPr>
        <w:spacing w:after="0" w:line="240" w:lineRule="auto"/>
      </w:pPr>
      <w:r w:rsidRPr="00272EEC">
        <w:rPr>
          <w:color w:val="5D6872"/>
          <w:sz w:val="24"/>
          <w:szCs w:val="24"/>
        </w:rPr>
        <w:t>A copy of our report is or will be available through the Illinois State Board of Elections. Donations are not tax deductible.</w:t>
      </w:r>
    </w:p>
    <w:sectPr w:rsidR="00511DAD" w:rsidRPr="00F56506" w:rsidSect="00034616">
      <w:footerReference w:type="even" r:id="rId9"/>
      <w:footerReference w:type="default" r:id="rId10"/>
      <w:pgSz w:w="12240" w:h="15840"/>
      <w:pgMar w:top="749" w:right="1008" w:bottom="691"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4BAAA49" w14:textId="77777777" w:rsidR="00BB79E2" w:rsidRDefault="00BB79E2">
      <w:pPr>
        <w:spacing w:after="0" w:line="240" w:lineRule="auto"/>
      </w:pPr>
      <w:r>
        <w:separator/>
      </w:r>
    </w:p>
  </w:endnote>
  <w:endnote w:type="continuationSeparator" w:id="0">
    <w:p w14:paraId="609F7E39" w14:textId="77777777" w:rsidR="00BB79E2" w:rsidRDefault="00BB7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488022808"/>
      <w:docPartObj>
        <w:docPartGallery w:val="Page Numbers (Bottom of Page)"/>
        <w:docPartUnique/>
      </w:docPartObj>
    </w:sdtPr>
    <w:sdtContent>
      <w:p w14:paraId="44FB94BD" w14:textId="686DC467" w:rsidR="00F56506" w:rsidRDefault="00F56506" w:rsidP="000942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B9F5B7E" w14:textId="77777777" w:rsidR="00F56506" w:rsidRDefault="00F56506" w:rsidP="00F565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967931986"/>
      <w:docPartObj>
        <w:docPartGallery w:val="Page Numbers (Bottom of Page)"/>
        <w:docPartUnique/>
      </w:docPartObj>
    </w:sdtPr>
    <w:sdtContent>
      <w:p w14:paraId="40FCB3E5" w14:textId="43C84252" w:rsidR="00F56506" w:rsidRDefault="00F56506" w:rsidP="000942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15DEF4A" w14:textId="408E615E" w:rsidR="00511DAD" w:rsidRDefault="00000000" w:rsidP="00F56506">
    <w:pPr>
      <w:pStyle w:val="Footer"/>
      <w:ind w:right="360"/>
      <w:jc w:val="center"/>
    </w:pPr>
    <w:r>
      <w:rPr>
        <w:color w:val="5D6872"/>
        <w:sz w:val="16"/>
      </w:rPr>
      <w:t>CHICAGO TIF REFORM BLUEPRINT</w:t>
    </w:r>
    <w:r w:rsidR="000945A1">
      <w:rPr>
        <w:color w:val="5D6872"/>
        <w:sz w:val="16"/>
      </w:rPr>
      <w:t>, George Cardenas for Mayor</w:t>
    </w:r>
    <w:r w:rsidR="00F56506">
      <w:rPr>
        <w:color w:val="5D6872"/>
        <w:sz w:val="16"/>
      </w:rPr>
      <w:t xml:space="preserve">, </w:t>
    </w:r>
    <w:r>
      <w:rPr>
        <w:color w:val="5D6872"/>
        <w:sz w:val="16"/>
      </w:rPr>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01B2055" w14:textId="77777777" w:rsidR="00BB79E2" w:rsidRDefault="00BB79E2">
      <w:pPr>
        <w:spacing w:after="0" w:line="240" w:lineRule="auto"/>
      </w:pPr>
      <w:r>
        <w:separator/>
      </w:r>
    </w:p>
  </w:footnote>
  <w:footnote w:type="continuationSeparator" w:id="0">
    <w:p w14:paraId="57EF6D31" w14:textId="77777777" w:rsidR="00BB79E2" w:rsidRDefault="00BB7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06494924">
    <w:abstractNumId w:val="8"/>
  </w:num>
  <w:num w:numId="2" w16cid:durableId="736590358">
    <w:abstractNumId w:val="6"/>
  </w:num>
  <w:num w:numId="3" w16cid:durableId="62873018">
    <w:abstractNumId w:val="5"/>
  </w:num>
  <w:num w:numId="4" w16cid:durableId="1649742459">
    <w:abstractNumId w:val="4"/>
  </w:num>
  <w:num w:numId="5" w16cid:durableId="951397385">
    <w:abstractNumId w:val="7"/>
  </w:num>
  <w:num w:numId="6" w16cid:durableId="73358238">
    <w:abstractNumId w:val="3"/>
  </w:num>
  <w:num w:numId="7" w16cid:durableId="2142385262">
    <w:abstractNumId w:val="2"/>
  </w:num>
  <w:num w:numId="8" w16cid:durableId="1453666222">
    <w:abstractNumId w:val="1"/>
  </w:num>
  <w:num w:numId="9" w16cid:durableId="160302514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2082"/>
    <w:rsid w:val="000945A1"/>
    <w:rsid w:val="001358B6"/>
    <w:rsid w:val="0015074B"/>
    <w:rsid w:val="001C4484"/>
    <w:rsid w:val="001F3803"/>
    <w:rsid w:val="002725E6"/>
    <w:rsid w:val="00272EEC"/>
    <w:rsid w:val="0029639D"/>
    <w:rsid w:val="00326F90"/>
    <w:rsid w:val="0048073E"/>
    <w:rsid w:val="004D63F3"/>
    <w:rsid w:val="00511DAD"/>
    <w:rsid w:val="0068212B"/>
    <w:rsid w:val="006C13B3"/>
    <w:rsid w:val="006E7252"/>
    <w:rsid w:val="00882491"/>
    <w:rsid w:val="00895D1C"/>
    <w:rsid w:val="00943266"/>
    <w:rsid w:val="009D125C"/>
    <w:rsid w:val="009E4B1C"/>
    <w:rsid w:val="00A642B1"/>
    <w:rsid w:val="00AA1D8D"/>
    <w:rsid w:val="00B112FE"/>
    <w:rsid w:val="00B47730"/>
    <w:rsid w:val="00B72C04"/>
    <w:rsid w:val="00BB79E2"/>
    <w:rsid w:val="00C13A74"/>
    <w:rsid w:val="00C67C17"/>
    <w:rsid w:val="00CB0664"/>
    <w:rsid w:val="00E5558A"/>
    <w:rsid w:val="00E74166"/>
    <w:rsid w:val="00E86AA5"/>
    <w:rsid w:val="00F56506"/>
    <w:rsid w:val="00FA170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8B701D"/>
  <w14:defaultImageDpi w14:val="300"/>
  <w15:docId w15:val="{45066B9D-D329-C14B-9DDD-86DA55D1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45" w:lineRule="auto"/>
    </w:pPr>
    <w:rPr>
      <w:rFonts w:ascii="Aptos" w:hAnsi="Aptos"/>
      <w:color w:val="1C2730"/>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8324A"/>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46A8A"/>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2A9D8F"/>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8324A"/>
      <w:spacing w:val="5"/>
      <w:kern w:val="28"/>
      <w:sz w:val="6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F56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yerblank/Downloads/Chicago%20TIF%20Revenu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 Chicago</a:t>
            </a:r>
            <a:r>
              <a:rPr lang="en-US" baseline="0"/>
              <a:t> TIF </a:t>
            </a:r>
            <a:r>
              <a:rPr lang="en-US"/>
              <a:t>Revenue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'[Chicago TIF Revenue.xlsx]Sheet1'!$A$2</c:f>
              <c:strCache>
                <c:ptCount val="1"/>
                <c:pt idx="0">
                  <c:v>Total Revenue</c:v>
                </c:pt>
              </c:strCache>
            </c:strRef>
          </c:tx>
          <c:spPr>
            <a:solidFill>
              <a:schemeClr val="accent1"/>
            </a:solidFill>
            <a:ln>
              <a:noFill/>
            </a:ln>
            <a:effectLst/>
          </c:spPr>
          <c:invertIfNegative val="0"/>
          <c:cat>
            <c:numRef>
              <c:f>'[Chicago TIF Revenue.xlsx]Sheet1'!$B$1:$C$1</c:f>
              <c:numCache>
                <c:formatCode>General</c:formatCode>
                <c:ptCount val="2"/>
                <c:pt idx="0">
                  <c:v>2012</c:v>
                </c:pt>
                <c:pt idx="1">
                  <c:v>2024</c:v>
                </c:pt>
              </c:numCache>
            </c:numRef>
          </c:cat>
          <c:val>
            <c:numRef>
              <c:f>'[Chicago TIF Revenue.xlsx]Sheet1'!$B$2:$C$2</c:f>
              <c:numCache>
                <c:formatCode>General</c:formatCode>
                <c:ptCount val="2"/>
                <c:pt idx="0">
                  <c:v>0.45700000000000002</c:v>
                </c:pt>
                <c:pt idx="1">
                  <c:v>1.5860000000000001</c:v>
                </c:pt>
              </c:numCache>
            </c:numRef>
          </c:val>
          <c:extLst>
            <c:ext xmlns:c16="http://schemas.microsoft.com/office/drawing/2014/chart" uri="{C3380CC4-5D6E-409C-BE32-E72D297353CC}">
              <c16:uniqueId val="{00000000-AC76-9246-9209-423D0ED59265}"/>
            </c:ext>
          </c:extLst>
        </c:ser>
        <c:dLbls>
          <c:showLegendKey val="0"/>
          <c:showVal val="0"/>
          <c:showCatName val="0"/>
          <c:showSerName val="0"/>
          <c:showPercent val="0"/>
          <c:showBubbleSize val="0"/>
        </c:dLbls>
        <c:gapWidth val="300"/>
        <c:axId val="1639276752"/>
        <c:axId val="1693310655"/>
      </c:barChart>
      <c:catAx>
        <c:axId val="1639276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310655"/>
        <c:crosses val="autoZero"/>
        <c:auto val="1"/>
        <c:lblAlgn val="ctr"/>
        <c:lblOffset val="100"/>
        <c:noMultiLvlLbl val="0"/>
      </c:catAx>
      <c:valAx>
        <c:axId val="1693310655"/>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Billions)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92767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21</Pages>
  <Words>3874</Words>
  <Characters>22084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Chicago TIF Reform Blueprint</vt:lpstr>
    </vt:vector>
  </TitlesOfParts>
  <Manager/>
  <Company/>
  <LinksUpToDate>false</LinksUpToDate>
  <CharactersWithSpaces>25907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TIF Reform Blueprint</dc:title>
  <dc:subject>Executive policy report on Chicago Tax Increment Financing reform</dc:subject>
  <dc:creator>George A. Cardenas</dc:creator>
  <cp:keywords/>
  <dc:description>generated by python-docx</dc:description>
  <cp:lastModifiedBy>myerblank@aol.com</cp:lastModifiedBy>
  <cp:revision>12</cp:revision>
  <dcterms:created xsi:type="dcterms:W3CDTF">2026-07-15T20:46:00Z</dcterms:created>
  <dcterms:modified xsi:type="dcterms:W3CDTF">2026-07-15T22:54:00Z</dcterms:modified>
  <cp:category/>
</cp:coreProperties>
</file>