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GEORGE A. CARDENAS</w:t>
      </w:r>
    </w:p>
    <w:p>
      <w:pPr>
        <w:jc w:val="center"/>
      </w:pPr>
      <w:r>
        <w:rPr>
          <w:b/>
          <w:sz w:val="32"/>
        </w:rPr>
        <w:t>CHICAGO OFFICE OF THE AUDITOR</w:t>
      </w:r>
    </w:p>
    <w:p>
      <w:pPr>
        <w:jc w:val="center"/>
      </w:pPr>
      <w:r>
        <w:rPr>
          <w:b/>
        </w:rPr>
        <w:t>MEDIA TWO-PAGER | JULY 2026</w:t>
      </w:r>
    </w:p>
    <w:p>
      <w:pPr>
        <w:jc w:val="center"/>
      </w:pPr>
      <w:r>
        <w:t>Budget-Neutral Oversight Reform: Problem First, Solutions with Consequences</w:t>
      </w:r>
    </w:p>
    <w:p/>
    <w:p>
      <w:pPr>
        <w:pStyle w:val="Heading2"/>
      </w:pPr>
      <w:r>
        <w:t>1) The Problem Chicago Must Solve First</w:t>
      </w:r>
    </w:p>
    <w:p>
      <w:r>
        <w:t>Before discussing institutional design, voters need a clear problem statement: Chicago spends more than $17 billion annually, taxpayers continue facing higher pressure, and recurring oversight findings continue to identify control weaknesses, procurement risk, contract-amendment creep, and delayed corrective follow-through.</w:t>
      </w:r>
    </w:p>
    <w:p>
      <w:pPr>
        <w:pStyle w:val="ListBullet"/>
      </w:pPr>
      <w:r>
        <w:t>Annual spending scale means weak controls become expensive quickly.</w:t>
      </w:r>
    </w:p>
    <w:p>
      <w:pPr>
        <w:pStyle w:val="ListBullet"/>
      </w:pPr>
      <w:r>
        <w:t>Repeated findings without closure undermine public trust.</w:t>
      </w:r>
    </w:p>
    <w:p>
      <w:pPr>
        <w:pStyle w:val="ListBullet"/>
      </w:pPr>
      <w:r>
        <w:t>Contract and procurement weaknesses can persist across departments when there is no closure discipline.</w:t>
      </w:r>
    </w:p>
    <w:p>
      <w:pPr>
        <w:pStyle w:val="ListBullet"/>
      </w:pPr>
      <w:r>
        <w:t>Taxpayers deserve proof that existing dollars are protected before government asks for more.</w:t>
      </w:r>
    </w:p>
    <w:p>
      <w:pPr>
        <w:pStyle w:val="Heading2"/>
      </w:pPr>
      <w:r>
        <w:t>2) The Core Distinction Reporters Will Ask About</w:t>
      </w:r>
    </w:p>
    <w:p>
      <w:r>
        <w:t xml:space="preserve">The one-line answer: </w:t>
      </w:r>
      <w:r>
        <w:rPr>
          <w:b/>
        </w:rPr>
        <w:t>The Inspector General investigates misconduct. The Auditor measures performance, waste, contracts, and department management so problems are fixed.</w:t>
      </w:r>
    </w:p>
    <w:p>
      <w:r>
        <w:t>The proposal does not eliminate the OIG lane. It clarifies lanes, reduces duplication, and ties financial/performance findings to public closure standards.</w:t>
      </w:r>
    </w:p>
    <w:p>
      <w:pPr>
        <w:pStyle w:val="Heading2"/>
      </w:pPr>
      <w:r>
        <w:t>3) Why Start Here Instead of Waiting for a City Charter?</w:t>
      </w:r>
    </w:p>
    <w:p>
      <w:r>
        <w:t>A charter conversation may be valuable, but charter action requires Illinois General Assembly steps and longer timelines outside unilateral City Hall control. This reform can start immediately through mayoral leadership plus City Council ordinance and budget authority.</w:t>
      </w:r>
    </w:p>
    <w:p>
      <w:pPr>
        <w:pStyle w:val="ListBullet"/>
      </w:pPr>
      <w:r>
        <w:t>Charter track: longer, state-level pathway.</w:t>
      </w:r>
    </w:p>
    <w:p>
      <w:pPr>
        <w:pStyle w:val="ListBullet"/>
      </w:pPr>
      <w:r>
        <w:t>Auditor track: immediate, controllable local action.</w:t>
      </w:r>
    </w:p>
    <w:p>
      <w:pPr>
        <w:pStyle w:val="ListBullet"/>
      </w:pPr>
      <w:r>
        <w:t>Public message: pursue both tracks, but do not delay immediate taxpayer protection.</w:t>
      </w:r>
    </w:p>
    <w:p>
      <w:r>
        <w:br w:type="page"/>
      </w:r>
    </w:p>
    <w:p>
      <w:pPr>
        <w:pStyle w:val="Heading2"/>
      </w:pPr>
      <w:r>
        <w:t>4) How This Office Produces Real Consequences</w:t>
      </w:r>
    </w:p>
    <w:p>
      <w:pPr>
        <w:pStyle w:val="ListBullet"/>
      </w:pPr>
      <w:r>
        <w:t>Required written management responses with deadlines.</w:t>
      </w:r>
    </w:p>
    <w:p>
      <w:pPr>
        <w:pStyle w:val="ListBullet"/>
      </w:pPr>
      <w:r>
        <w:t>Public tracker of open, overdue, disputed, and closed findings.</w:t>
      </w:r>
    </w:p>
    <w:p>
      <w:pPr>
        <w:pStyle w:val="ListBullet"/>
      </w:pPr>
      <w:r>
        <w:t>Council hearings focused on unresolved corrective actions.</w:t>
      </w:r>
    </w:p>
    <w:p>
      <w:pPr>
        <w:pStyle w:val="ListBullet"/>
      </w:pPr>
      <w:r>
        <w:t>Evidence-based escalation that informs budget and oversight decisions.</w:t>
      </w:r>
    </w:p>
    <w:p>
      <w:pPr>
        <w:pStyle w:val="Heading2"/>
      </w:pPr>
      <w:r>
        <w:t>5) Can It Stop Waste or Only Write Reports?</w:t>
      </w:r>
    </w:p>
    <w:p>
      <w:r>
        <w:t>The Auditor does not replace procurement or legal authority, but it can stop ongoing loss by surfacing defects earlier, forcing deadlines, documenting noncompliance publicly, and requiring closure evidence rather than narrative assurances.</w:t>
      </w:r>
    </w:p>
    <w:p>
      <w:pPr>
        <w:pStyle w:val="Heading2"/>
      </w:pPr>
      <w:r>
        <w:t>6) Who Watches the Watchdog?</w:t>
      </w:r>
    </w:p>
    <w:p>
      <w:pPr>
        <w:pStyle w:val="ListBullet"/>
      </w:pPr>
      <w:r>
        <w:t>Professional audit standards and published methodology.</w:t>
      </w:r>
    </w:p>
    <w:p>
      <w:pPr>
        <w:pStyle w:val="ListBullet"/>
      </w:pPr>
      <w:r>
        <w:t>Ethics and firewall rules against political misuse.</w:t>
      </w:r>
    </w:p>
    <w:p>
      <w:pPr>
        <w:pStyle w:val="ListBullet"/>
      </w:pPr>
      <w:r>
        <w:t>Fixed-term protections and removal-for-cause structure.</w:t>
      </w:r>
    </w:p>
    <w:p>
      <w:pPr>
        <w:pStyle w:val="ListBullet"/>
      </w:pPr>
      <w:r>
        <w:t>Public reporting and Council oversight hearings.</w:t>
      </w:r>
    </w:p>
    <w:p>
      <w:pPr>
        <w:pStyle w:val="Heading2"/>
      </w:pPr>
      <w:r>
        <w:t>7) What Success Looks Like in Year One</w:t>
      </w:r>
    </w:p>
    <w:p>
      <w:pPr>
        <w:pStyle w:val="ListBullet"/>
      </w:pPr>
      <w:r>
        <w:t>Citywide risk-based audit universe published.</w:t>
      </w:r>
    </w:p>
    <w:p>
      <w:pPr>
        <w:pStyle w:val="ListBullet"/>
      </w:pPr>
      <w:r>
        <w:t>Monthly public dashboard live and updated.</w:t>
      </w:r>
    </w:p>
    <w:p>
      <w:pPr>
        <w:pStyle w:val="ListBullet"/>
      </w:pPr>
      <w:r>
        <w:t>At least three high-risk audits underway (procurement controls, contract amendments, payment integrity).</w:t>
      </w:r>
    </w:p>
    <w:p>
      <w:pPr>
        <w:pStyle w:val="ListBullet"/>
      </w:pPr>
      <w:r>
        <w:t>Measurable closure rate targets and reduction in repeat findings.</w:t>
      </w:r>
    </w:p>
    <w:p>
      <w:pPr>
        <w:pStyle w:val="ListBullet"/>
      </w:pPr>
      <w:r>
        <w:t>Budget-neutral oversight allocation documented publicly.</w:t>
      </w:r>
    </w:p>
    <w:p>
      <w:pPr>
        <w:pStyle w:val="Heading2"/>
      </w:pPr>
      <w:r>
        <w:t>Bottom Line</w:t>
      </w:r>
    </w:p>
    <w:p>
      <w:r>
        <w:t xml:space="preserve">This is a discipline reform, not a bureaucracy expansion: </w:t>
      </w:r>
      <w:r>
        <w:rPr>
          <w:b/>
        </w:rPr>
        <w:t>launch now at $0 net new taxpayer cost, publish evidence, enforce follow-through, and restore trust in how City Hall manages public dollars.</w:t>
      </w:r>
    </w:p>
    <w:p/>
    <w:p>
      <w:r>
        <w:rPr>
          <w:i/>
        </w:rPr>
        <w:t>Media requests and policy packet access (credentialed press): press@cardenas4chicago.com</w:t>
      </w:r>
    </w:p>
    <w:sectPr w:rsidR="00FC693F" w:rsidRPr="0006063C" w:rsidSect="00034616">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